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870"/>
        <w:gridCol w:w="66"/>
        <w:gridCol w:w="81"/>
      </w:tblGrid>
      <w:tr w:rsidR="00FF3F95" w:rsidRPr="00FF3F95" w:rsidTr="00FF3F95">
        <w:trPr>
          <w:tblCellSpacing w:w="15" w:type="dxa"/>
        </w:trPr>
        <w:tc>
          <w:tcPr>
            <w:tcW w:w="5000" w:type="pct"/>
            <w:vAlign w:val="center"/>
            <w:hideMark/>
          </w:tcPr>
          <w:p w:rsidR="00FF3F95" w:rsidRPr="00FF3F95" w:rsidRDefault="00FF3F95" w:rsidP="00FF3F95">
            <w:pPr>
              <w:spacing w:after="0" w:line="240" w:lineRule="auto"/>
              <w:rPr>
                <w:rFonts w:ascii="Times New Roman" w:eastAsia="Times New Roman" w:hAnsi="Times New Roman" w:cs="Times New Roman"/>
                <w:sz w:val="24"/>
                <w:szCs w:val="24"/>
              </w:rPr>
            </w:pPr>
            <w:r w:rsidRPr="00FF3F95">
              <w:rPr>
                <w:rFonts w:ascii="Times New Roman" w:eastAsia="Times New Roman" w:hAnsi="Times New Roman" w:cs="Times New Roman"/>
                <w:sz w:val="24"/>
                <w:szCs w:val="24"/>
              </w:rPr>
              <w:t xml:space="preserve">Masters in Management Studies (MMS) </w:t>
            </w:r>
          </w:p>
        </w:tc>
        <w:tc>
          <w:tcPr>
            <w:tcW w:w="5000" w:type="pct"/>
            <w:vAlign w:val="center"/>
            <w:hideMark/>
          </w:tcPr>
          <w:p w:rsidR="00FF3F95" w:rsidRPr="00FF3F95" w:rsidRDefault="00FF3F95" w:rsidP="00FF3F95">
            <w:pPr>
              <w:spacing w:after="0" w:line="240" w:lineRule="auto"/>
              <w:jc w:val="right"/>
              <w:rPr>
                <w:rFonts w:ascii="Times New Roman" w:eastAsia="Times New Roman" w:hAnsi="Times New Roman" w:cs="Times New Roman"/>
                <w:sz w:val="24"/>
                <w:szCs w:val="24"/>
              </w:rPr>
            </w:pPr>
          </w:p>
        </w:tc>
        <w:tc>
          <w:tcPr>
            <w:tcW w:w="5000" w:type="pct"/>
            <w:vAlign w:val="center"/>
            <w:hideMark/>
          </w:tcPr>
          <w:p w:rsidR="00FF3F95" w:rsidRPr="00FF3F95" w:rsidRDefault="00FF3F95" w:rsidP="00FF3F95">
            <w:pPr>
              <w:spacing w:after="0" w:line="240" w:lineRule="auto"/>
              <w:jc w:val="right"/>
              <w:rPr>
                <w:rFonts w:ascii="Times New Roman" w:eastAsia="Times New Roman" w:hAnsi="Times New Roman" w:cs="Times New Roman"/>
                <w:sz w:val="24"/>
                <w:szCs w:val="24"/>
              </w:rPr>
            </w:pPr>
          </w:p>
        </w:tc>
      </w:tr>
    </w:tbl>
    <w:p w:rsidR="00FF3F95" w:rsidRPr="00FF3F95" w:rsidRDefault="00FF3F95" w:rsidP="00FF3F9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50"/>
      </w:tblGrid>
      <w:tr w:rsidR="00FF3F95" w:rsidRPr="00FF3F95" w:rsidTr="00FF3F95">
        <w:trPr>
          <w:tblCellSpacing w:w="15" w:type="dxa"/>
        </w:trPr>
        <w:tc>
          <w:tcPr>
            <w:tcW w:w="0" w:type="auto"/>
            <w:hideMark/>
          </w:tcPr>
          <w:tbl>
            <w:tblPr>
              <w:tblW w:w="5000" w:type="pct"/>
              <w:tblCellSpacing w:w="7" w:type="dxa"/>
              <w:tblCellMar>
                <w:left w:w="0" w:type="dxa"/>
                <w:right w:w="0" w:type="dxa"/>
              </w:tblCellMar>
              <w:tblLook w:val="04A0"/>
            </w:tblPr>
            <w:tblGrid>
              <w:gridCol w:w="9360"/>
            </w:tblGrid>
            <w:tr w:rsidR="00FF3F95" w:rsidRPr="00FF3F95">
              <w:trPr>
                <w:trHeight w:val="405"/>
                <w:tblCellSpacing w:w="7" w:type="dxa"/>
              </w:trPr>
              <w:tc>
                <w:tcPr>
                  <w:tcW w:w="0" w:type="auto"/>
                  <w:vAlign w:val="center"/>
                  <w:hideMark/>
                </w:tcPr>
                <w:p w:rsidR="00FF3F95" w:rsidRPr="00FF3F95" w:rsidRDefault="00FF3F95" w:rsidP="00FF3F95">
                  <w:pPr>
                    <w:spacing w:before="100" w:beforeAutospacing="1" w:after="100" w:afterAutospacing="1" w:line="240" w:lineRule="auto"/>
                    <w:rPr>
                      <w:rFonts w:ascii="Times New Roman" w:eastAsia="Times New Roman" w:hAnsi="Times New Roman" w:cs="Times New Roman"/>
                      <w:sz w:val="24"/>
                      <w:szCs w:val="24"/>
                    </w:rPr>
                  </w:pPr>
                  <w:r w:rsidRPr="00FF3F95">
                    <w:rPr>
                      <w:rFonts w:ascii="Times New Roman" w:eastAsia="Times New Roman" w:hAnsi="Times New Roman" w:cs="Times New Roman"/>
                      <w:b/>
                      <w:bCs/>
                      <w:sz w:val="24"/>
                      <w:szCs w:val="24"/>
                    </w:rPr>
                    <w:t> Evaluation</w:t>
                  </w:r>
                </w:p>
              </w:tc>
            </w:tr>
          </w:tbl>
          <w:p w:rsidR="00FF3F95" w:rsidRPr="00FF3F95" w:rsidRDefault="00FF3F95" w:rsidP="00FF3F95">
            <w:pPr>
              <w:spacing w:before="100" w:beforeAutospacing="1" w:after="240" w:line="240" w:lineRule="auto"/>
              <w:jc w:val="both"/>
              <w:rPr>
                <w:rFonts w:ascii="Times New Roman" w:eastAsia="Times New Roman" w:hAnsi="Times New Roman" w:cs="Times New Roman"/>
                <w:sz w:val="24"/>
                <w:szCs w:val="24"/>
              </w:rPr>
            </w:pPr>
            <w:r w:rsidRPr="00FF3F95">
              <w:rPr>
                <w:rFonts w:ascii="Times New Roman" w:eastAsia="Times New Roman" w:hAnsi="Times New Roman" w:cs="Times New Roman"/>
                <w:sz w:val="24"/>
                <w:szCs w:val="24"/>
              </w:rPr>
              <w:t>The M.M.S. degree course is conducted on a semester basis with four semesters spread over two academic years. The duration of each semester is around 15 working weeks.</w:t>
            </w:r>
          </w:p>
          <w:p w:rsidR="00FF3F95" w:rsidRPr="00FF3F95" w:rsidRDefault="00FF3F95" w:rsidP="00FF3F95">
            <w:pPr>
              <w:spacing w:before="100" w:beforeAutospacing="1" w:after="100" w:afterAutospacing="1" w:line="240" w:lineRule="auto"/>
              <w:rPr>
                <w:rFonts w:ascii="Times New Roman" w:eastAsia="Times New Roman" w:hAnsi="Times New Roman" w:cs="Times New Roman"/>
                <w:sz w:val="24"/>
                <w:szCs w:val="24"/>
              </w:rPr>
            </w:pPr>
            <w:r w:rsidRPr="00FF3F95">
              <w:rPr>
                <w:rFonts w:ascii="Times New Roman" w:eastAsia="Times New Roman" w:hAnsi="Times New Roman" w:cs="Times New Roman"/>
                <w:b/>
                <w:bCs/>
                <w:sz w:val="24"/>
                <w:szCs w:val="24"/>
              </w:rPr>
              <w:t xml:space="preserve">Semesters:                                                     </w:t>
            </w:r>
          </w:p>
          <w:p w:rsidR="00FF3F95" w:rsidRPr="00FF3F95" w:rsidRDefault="00FF3F95" w:rsidP="00FF3F95">
            <w:pPr>
              <w:spacing w:before="100" w:beforeAutospacing="1" w:after="100" w:afterAutospacing="1" w:line="240" w:lineRule="auto"/>
              <w:rPr>
                <w:rFonts w:ascii="Times New Roman" w:eastAsia="Times New Roman" w:hAnsi="Times New Roman" w:cs="Times New Roman"/>
                <w:sz w:val="24"/>
                <w:szCs w:val="24"/>
              </w:rPr>
            </w:pPr>
            <w:r w:rsidRPr="00FF3F95">
              <w:rPr>
                <w:rFonts w:ascii="Times New Roman" w:eastAsia="Times New Roman" w:hAnsi="Times New Roman" w:cs="Times New Roman"/>
                <w:sz w:val="24"/>
                <w:szCs w:val="24"/>
              </w:rPr>
              <w:t>First Semester: August to November*</w:t>
            </w:r>
            <w:r w:rsidRPr="00FF3F95">
              <w:rPr>
                <w:rFonts w:ascii="Times New Roman" w:eastAsia="Times New Roman" w:hAnsi="Times New Roman" w:cs="Times New Roman"/>
                <w:sz w:val="24"/>
                <w:szCs w:val="24"/>
              </w:rPr>
              <w:br/>
              <w:t>Third Semester: July to October*</w:t>
            </w:r>
            <w:r w:rsidRPr="00FF3F95">
              <w:rPr>
                <w:rFonts w:ascii="Times New Roman" w:eastAsia="Times New Roman" w:hAnsi="Times New Roman" w:cs="Times New Roman"/>
                <w:sz w:val="24"/>
                <w:szCs w:val="24"/>
              </w:rPr>
              <w:br/>
              <w:t>Second / Fourth Semester: January to April*</w:t>
            </w:r>
            <w:r w:rsidRPr="00FF3F95">
              <w:rPr>
                <w:rFonts w:ascii="Times New Roman" w:eastAsia="Times New Roman" w:hAnsi="Times New Roman" w:cs="Times New Roman"/>
                <w:sz w:val="24"/>
                <w:szCs w:val="24"/>
              </w:rPr>
              <w:br/>
            </w:r>
            <w:r w:rsidRPr="00FF3F95">
              <w:rPr>
                <w:rFonts w:ascii="Times New Roman" w:eastAsia="Times New Roman" w:hAnsi="Times New Roman" w:cs="Times New Roman"/>
                <w:sz w:val="24"/>
                <w:szCs w:val="24"/>
              </w:rPr>
              <w:br/>
              <w:t xml:space="preserve">( Note : The above dates / duration are subject to change as notified from time to time ) </w:t>
            </w:r>
            <w:r w:rsidRPr="00FF3F95">
              <w:rPr>
                <w:rFonts w:ascii="Times New Roman" w:eastAsia="Times New Roman" w:hAnsi="Times New Roman" w:cs="Times New Roman"/>
                <w:sz w:val="24"/>
                <w:szCs w:val="24"/>
              </w:rPr>
              <w:br/>
            </w:r>
            <w:r w:rsidRPr="00FF3F95">
              <w:rPr>
                <w:rFonts w:ascii="Times New Roman" w:eastAsia="Times New Roman" w:hAnsi="Times New Roman" w:cs="Times New Roman"/>
                <w:sz w:val="24"/>
                <w:szCs w:val="24"/>
              </w:rPr>
              <w:br/>
              <w:t>Further no transfer in Second year MMS course from one institute to another be allowed. The students are informed that for granting of the terms / semester the minimum attendance required is 75 % of the lectures taken in each subject failing which they will not be permitted to appear for ensuing Semester end examination.</w:t>
            </w:r>
            <w:r w:rsidRPr="00FF3F95">
              <w:rPr>
                <w:rFonts w:ascii="Times New Roman" w:eastAsia="Times New Roman" w:hAnsi="Times New Roman" w:cs="Times New Roman"/>
                <w:sz w:val="24"/>
                <w:szCs w:val="24"/>
              </w:rPr>
              <w:br/>
            </w:r>
            <w:r w:rsidRPr="00FF3F95">
              <w:rPr>
                <w:rFonts w:ascii="Times New Roman" w:eastAsia="Times New Roman" w:hAnsi="Times New Roman" w:cs="Times New Roman"/>
                <w:sz w:val="24"/>
                <w:szCs w:val="24"/>
              </w:rPr>
              <w:br/>
              <w:t>Candidates will be required to do a fair amount of practical work by way of project work, field investigations and case analysis besides library reading and class contact hours. Candidates’ participation in the programme, both inside and outside the class will be evaluated on a continuing basis. The assessment of the candidates for the first two semesters is conducted by the institute and for the third and fourth semesters by the university / institute as prescribed. In order to pass in a subject / paper in any semester a candidate is required to obtain a minimum of 50% marks assigned to that subject / paper. The University of Mumbai will award the MMS Degree to the candidates successfully completing the programme.</w:t>
            </w:r>
            <w:r w:rsidRPr="00FF3F95">
              <w:rPr>
                <w:rFonts w:ascii="Times New Roman" w:eastAsia="Times New Roman" w:hAnsi="Times New Roman" w:cs="Times New Roman"/>
                <w:sz w:val="24"/>
                <w:szCs w:val="24"/>
              </w:rPr>
              <w:br/>
              <w:t xml:space="preserve">  </w:t>
            </w:r>
          </w:p>
          <w:p w:rsidR="00FF3F95" w:rsidRPr="00FF3F95" w:rsidRDefault="00FF3F95" w:rsidP="00FF3F95">
            <w:pPr>
              <w:spacing w:before="100" w:beforeAutospacing="1" w:after="100" w:afterAutospacing="1" w:line="240" w:lineRule="auto"/>
              <w:rPr>
                <w:rFonts w:ascii="Times New Roman" w:eastAsia="Times New Roman" w:hAnsi="Times New Roman" w:cs="Times New Roman"/>
                <w:sz w:val="24"/>
                <w:szCs w:val="24"/>
              </w:rPr>
            </w:pPr>
            <w:r w:rsidRPr="00FF3F95">
              <w:rPr>
                <w:rFonts w:ascii="Times New Roman" w:eastAsia="Times New Roman" w:hAnsi="Times New Roman" w:cs="Times New Roman"/>
                <w:i/>
                <w:iCs/>
                <w:sz w:val="24"/>
                <w:szCs w:val="24"/>
              </w:rPr>
              <w:t>*Contact the office for joining details</w:t>
            </w:r>
            <w:r w:rsidRPr="00FF3F95">
              <w:rPr>
                <w:rFonts w:ascii="Times New Roman" w:eastAsia="Times New Roman" w:hAnsi="Times New Roman" w:cs="Times New Roman"/>
                <w:sz w:val="24"/>
                <w:szCs w:val="24"/>
              </w:rPr>
              <w:t xml:space="preserve"> : +91-22-2202 4133 / 2202 4118 / 2202 5153 </w:t>
            </w:r>
          </w:p>
        </w:tc>
      </w:tr>
    </w:tbl>
    <w:p w:rsidR="00FF3F95" w:rsidRDefault="00FF3F95" w:rsidP="008116D8">
      <w:pPr>
        <w:spacing w:before="396" w:after="0" w:line="240" w:lineRule="auto"/>
        <w:jc w:val="center"/>
        <w:rPr>
          <w:rFonts w:ascii="Times New Roman" w:eastAsia="Times New Roman" w:hAnsi="Times New Roman" w:cs="Times New Roman"/>
          <w:sz w:val="24"/>
          <w:szCs w:val="24"/>
        </w:rPr>
      </w:pPr>
    </w:p>
    <w:p w:rsidR="00FF3F95" w:rsidRDefault="00FF3F95" w:rsidP="008116D8">
      <w:pPr>
        <w:spacing w:before="396" w:after="0" w:line="240" w:lineRule="auto"/>
        <w:jc w:val="center"/>
        <w:rPr>
          <w:rFonts w:ascii="Times New Roman" w:eastAsia="Times New Roman" w:hAnsi="Times New Roman" w:cs="Times New Roman"/>
          <w:sz w:val="24"/>
          <w:szCs w:val="24"/>
        </w:rPr>
      </w:pPr>
    </w:p>
    <w:p w:rsidR="00FF3F95" w:rsidRDefault="00FF3F95" w:rsidP="008116D8">
      <w:pPr>
        <w:spacing w:before="396" w:after="0" w:line="240" w:lineRule="auto"/>
        <w:jc w:val="center"/>
        <w:rPr>
          <w:rFonts w:ascii="Times New Roman" w:eastAsia="Times New Roman" w:hAnsi="Times New Roman" w:cs="Times New Roman"/>
          <w:sz w:val="24"/>
          <w:szCs w:val="24"/>
        </w:rPr>
      </w:pPr>
    </w:p>
    <w:p w:rsidR="00FF3F95" w:rsidRDefault="00FF3F95" w:rsidP="008116D8">
      <w:pPr>
        <w:spacing w:before="396" w:after="0" w:line="240" w:lineRule="auto"/>
        <w:jc w:val="center"/>
        <w:rPr>
          <w:rFonts w:ascii="Times New Roman" w:eastAsia="Times New Roman" w:hAnsi="Times New Roman" w:cs="Times New Roman"/>
          <w:sz w:val="24"/>
          <w:szCs w:val="24"/>
        </w:rPr>
      </w:pPr>
    </w:p>
    <w:p w:rsidR="00FF3F95" w:rsidRDefault="00FF3F95" w:rsidP="008116D8">
      <w:pPr>
        <w:spacing w:before="396" w:after="0" w:line="240" w:lineRule="auto"/>
        <w:jc w:val="center"/>
        <w:rPr>
          <w:rFonts w:ascii="Times New Roman" w:eastAsia="Times New Roman" w:hAnsi="Times New Roman" w:cs="Times New Roman"/>
          <w:sz w:val="24"/>
          <w:szCs w:val="24"/>
        </w:rPr>
      </w:pPr>
    </w:p>
    <w:p w:rsidR="008116D8" w:rsidRPr="008116D8" w:rsidRDefault="004E10F0" w:rsidP="008116D8">
      <w:pPr>
        <w:spacing w:before="396" w:after="0" w:line="240" w:lineRule="auto"/>
        <w:jc w:val="center"/>
        <w:rPr>
          <w:rFonts w:ascii="Times New Roman" w:eastAsia="Times New Roman" w:hAnsi="Times New Roman" w:cs="Times New Roman"/>
          <w:sz w:val="24"/>
          <w:szCs w:val="24"/>
        </w:rPr>
      </w:pPr>
      <w:hyperlink r:id="rId4" w:history="1">
        <w:r w:rsidR="008116D8" w:rsidRPr="008116D8">
          <w:rPr>
            <w:rFonts w:ascii="Tahoma" w:eastAsia="Times New Roman" w:hAnsi="Tahoma" w:cs="Tahoma"/>
            <w:b/>
            <w:bCs/>
            <w:sz w:val="36"/>
            <w:u w:val="single"/>
          </w:rPr>
          <w:t>JBIMS Mumbai</w:t>
        </w:r>
      </w:hyperlink>
    </w:p>
    <w:tbl>
      <w:tblPr>
        <w:tblW w:w="5000" w:type="pct"/>
        <w:tblCellMar>
          <w:left w:w="0" w:type="dxa"/>
          <w:right w:w="0" w:type="dxa"/>
        </w:tblCellMar>
        <w:tblLook w:val="04A0"/>
      </w:tblPr>
      <w:tblGrid>
        <w:gridCol w:w="2370"/>
        <w:gridCol w:w="4620"/>
        <w:gridCol w:w="2370"/>
      </w:tblGrid>
      <w:tr w:rsidR="008116D8" w:rsidRPr="008116D8" w:rsidTr="008116D8">
        <w:tc>
          <w:tcPr>
            <w:tcW w:w="1000" w:type="pct"/>
            <w:tcBorders>
              <w:top w:val="nil"/>
              <w:left w:val="nil"/>
              <w:bottom w:val="nil"/>
              <w:right w:val="nil"/>
            </w:tcBorders>
            <w:hideMark/>
          </w:tcPr>
          <w:p w:rsidR="008116D8" w:rsidRPr="008116D8" w:rsidRDefault="008116D8" w:rsidP="008116D8">
            <w:pPr>
              <w:spacing w:after="317" w:line="240" w:lineRule="auto"/>
              <w:rPr>
                <w:rFonts w:ascii="Times New Roman" w:eastAsia="Times New Roman" w:hAnsi="Times New Roman" w:cs="Times New Roman"/>
                <w:sz w:val="24"/>
                <w:szCs w:val="24"/>
              </w:rPr>
            </w:pPr>
          </w:p>
        </w:tc>
        <w:tc>
          <w:tcPr>
            <w:tcW w:w="1950" w:type="pct"/>
            <w:tcBorders>
              <w:top w:val="nil"/>
              <w:left w:val="nil"/>
              <w:bottom w:val="nil"/>
              <w:right w:val="nil"/>
            </w:tcBorders>
            <w:vAlign w:val="center"/>
            <w:hideMark/>
          </w:tcPr>
          <w:p w:rsidR="008116D8" w:rsidRPr="008116D8" w:rsidRDefault="008116D8" w:rsidP="008116D8">
            <w:pPr>
              <w:spacing w:after="476" w:line="240" w:lineRule="auto"/>
              <w:jc w:val="center"/>
              <w:rPr>
                <w:rFonts w:ascii="Times New Roman" w:eastAsia="Times New Roman" w:hAnsi="Times New Roman" w:cs="Times New Roman"/>
                <w:sz w:val="24"/>
                <w:szCs w:val="24"/>
              </w:rPr>
            </w:pPr>
            <w:r w:rsidRPr="008116D8">
              <w:rPr>
                <w:rFonts w:ascii="Tahoma" w:eastAsia="Times New Roman" w:hAnsi="Tahoma" w:cs="Tahoma"/>
                <w:b/>
                <w:bCs/>
                <w:i/>
                <w:iCs/>
                <w:sz w:val="16"/>
                <w:szCs w:val="16"/>
              </w:rPr>
              <w:t>The</w:t>
            </w:r>
            <w:r w:rsidRPr="008116D8">
              <w:rPr>
                <w:rFonts w:ascii="Tahoma" w:eastAsia="Times New Roman" w:hAnsi="Tahoma" w:cs="Tahoma"/>
                <w:b/>
                <w:bCs/>
                <w:sz w:val="16"/>
                <w:szCs w:val="16"/>
              </w:rPr>
              <w:t xml:space="preserve"> resource for Jamnalal Bajaj Institute of Management Studies, Mumbai</w:t>
            </w:r>
          </w:p>
        </w:tc>
        <w:tc>
          <w:tcPr>
            <w:tcW w:w="1000" w:type="pct"/>
            <w:tcBorders>
              <w:top w:val="nil"/>
              <w:left w:val="nil"/>
              <w:bottom w:val="nil"/>
              <w:right w:val="nil"/>
            </w:tcBorders>
            <w:hideMark/>
          </w:tcPr>
          <w:p w:rsidR="008116D8" w:rsidRPr="008116D8" w:rsidRDefault="008116D8" w:rsidP="008116D8">
            <w:pPr>
              <w:spacing w:after="0" w:line="240" w:lineRule="auto"/>
              <w:rPr>
                <w:rFonts w:ascii="Times New Roman" w:eastAsia="Times New Roman" w:hAnsi="Times New Roman" w:cs="Times New Roman"/>
                <w:sz w:val="24"/>
                <w:szCs w:val="24"/>
              </w:rPr>
            </w:pPr>
            <w:r w:rsidRPr="008116D8">
              <w:rPr>
                <w:rFonts w:ascii="Times New Roman" w:eastAsia="Times New Roman" w:hAnsi="Times New Roman" w:cs="Times New Roman"/>
                <w:sz w:val="24"/>
                <w:szCs w:val="24"/>
              </w:rPr>
              <w:t> </w:t>
            </w:r>
          </w:p>
        </w:tc>
      </w:tr>
    </w:tbl>
    <w:p w:rsidR="008116D8" w:rsidRPr="008116D8" w:rsidRDefault="008116D8" w:rsidP="008116D8">
      <w:pPr>
        <w:spacing w:after="0" w:line="240" w:lineRule="auto"/>
        <w:rPr>
          <w:rFonts w:ascii="Times New Roman" w:eastAsia="Times New Roman" w:hAnsi="Times New Roman" w:cs="Times New Roman"/>
          <w:vanish/>
          <w:sz w:val="24"/>
          <w:szCs w:val="24"/>
        </w:rPr>
      </w:pPr>
    </w:p>
    <w:tbl>
      <w:tblPr>
        <w:tblW w:w="5000" w:type="pct"/>
        <w:tblCellMar>
          <w:top w:w="30" w:type="dxa"/>
          <w:left w:w="30" w:type="dxa"/>
          <w:bottom w:w="30" w:type="dxa"/>
          <w:right w:w="30" w:type="dxa"/>
        </w:tblCellMar>
        <w:tblLook w:val="04A0"/>
      </w:tblPr>
      <w:tblGrid>
        <w:gridCol w:w="9420"/>
      </w:tblGrid>
      <w:tr w:rsidR="008116D8" w:rsidRPr="008116D8" w:rsidTr="008116D8">
        <w:trPr>
          <w:trHeight w:val="15"/>
        </w:trPr>
        <w:tc>
          <w:tcPr>
            <w:tcW w:w="5000" w:type="pct"/>
            <w:tcBorders>
              <w:top w:val="nil"/>
              <w:left w:val="nil"/>
              <w:bottom w:val="nil"/>
              <w:right w:val="nil"/>
            </w:tcBorders>
            <w:shd w:val="clear" w:color="auto" w:fill="00CC99"/>
            <w:vAlign w:val="center"/>
            <w:hideMark/>
          </w:tcPr>
          <w:p w:rsidR="008116D8" w:rsidRPr="008116D8" w:rsidRDefault="008116D8" w:rsidP="008116D8">
            <w:pPr>
              <w:spacing w:after="0" w:line="15" w:lineRule="atLeast"/>
              <w:jc w:val="center"/>
              <w:rPr>
                <w:rFonts w:ascii="Times New Roman" w:eastAsia="Times New Roman" w:hAnsi="Times New Roman" w:cs="Times New Roman"/>
                <w:sz w:val="24"/>
                <w:szCs w:val="24"/>
              </w:rPr>
            </w:pPr>
            <w:bookmarkStart w:id="0" w:name="finance"/>
            <w:bookmarkEnd w:id="0"/>
            <w:r w:rsidRPr="008116D8">
              <w:rPr>
                <w:rFonts w:ascii="Tahoma" w:eastAsia="Times New Roman" w:hAnsi="Tahoma" w:cs="Tahoma"/>
                <w:b/>
                <w:bCs/>
                <w:sz w:val="20"/>
                <w:szCs w:val="20"/>
              </w:rPr>
              <w:t>FINANCE</w:t>
            </w:r>
          </w:p>
        </w:tc>
      </w:tr>
    </w:tbl>
    <w:p w:rsidR="008116D8" w:rsidRPr="008116D8" w:rsidRDefault="008116D8" w:rsidP="008116D8">
      <w:pPr>
        <w:spacing w:before="132" w:after="79" w:line="240" w:lineRule="auto"/>
        <w:rPr>
          <w:rFonts w:ascii="Times New Roman" w:eastAsia="Times New Roman" w:hAnsi="Times New Roman" w:cs="Times New Roman"/>
          <w:sz w:val="24"/>
          <w:szCs w:val="24"/>
        </w:rPr>
      </w:pPr>
      <w:bookmarkStart w:id="1" w:name="fees"/>
      <w:bookmarkEnd w:id="1"/>
      <w:r w:rsidRPr="008116D8">
        <w:rPr>
          <w:rFonts w:ascii="Tahoma" w:eastAsia="Times New Roman" w:hAnsi="Tahoma" w:cs="Tahoma"/>
          <w:b/>
          <w:bCs/>
          <w:sz w:val="16"/>
          <w:szCs w:val="16"/>
          <w:shd w:val="clear" w:color="auto" w:fill="FFFFFF"/>
        </w:rPr>
        <w:t xml:space="preserve"> Fees </w:t>
      </w:r>
    </w:p>
    <w:p w:rsidR="008116D8" w:rsidRPr="008116D8" w:rsidRDefault="008116D8" w:rsidP="008116D8">
      <w:pPr>
        <w:spacing w:before="132"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Masters of Management Studies Per Annum fees: Rs. 79800</w:t>
      </w:r>
    </w:p>
    <w:p w:rsidR="008116D8" w:rsidRPr="008116D8" w:rsidRDefault="008116D8" w:rsidP="008116D8">
      <w:pPr>
        <w:spacing w:after="0" w:line="240" w:lineRule="auto"/>
        <w:rPr>
          <w:rFonts w:ascii="Times New Roman" w:eastAsia="Times New Roman" w:hAnsi="Times New Roman" w:cs="Times New Roman"/>
          <w:sz w:val="24"/>
          <w:szCs w:val="24"/>
        </w:rPr>
      </w:pPr>
      <w:r w:rsidRPr="008116D8">
        <w:rPr>
          <w:rFonts w:ascii="Times New Roman" w:eastAsia="Times New Roman" w:hAnsi="Times New Roman" w:cs="Times New Roman"/>
          <w:sz w:val="24"/>
          <w:szCs w:val="24"/>
        </w:rPr>
        <w:t> </w:t>
      </w:r>
    </w:p>
    <w:tbl>
      <w:tblPr>
        <w:tblW w:w="5000" w:type="pct"/>
        <w:tblCellMar>
          <w:top w:w="30" w:type="dxa"/>
          <w:left w:w="30" w:type="dxa"/>
          <w:bottom w:w="30" w:type="dxa"/>
          <w:right w:w="30" w:type="dxa"/>
        </w:tblCellMar>
        <w:tblLook w:val="04A0"/>
      </w:tblPr>
      <w:tblGrid>
        <w:gridCol w:w="9420"/>
      </w:tblGrid>
      <w:tr w:rsidR="008116D8" w:rsidRPr="008116D8" w:rsidTr="008116D8">
        <w:trPr>
          <w:trHeight w:val="15"/>
        </w:trPr>
        <w:tc>
          <w:tcPr>
            <w:tcW w:w="5000" w:type="pct"/>
            <w:tcBorders>
              <w:top w:val="nil"/>
              <w:left w:val="nil"/>
              <w:bottom w:val="nil"/>
              <w:right w:val="nil"/>
            </w:tcBorders>
            <w:shd w:val="clear" w:color="auto" w:fill="00CC99"/>
            <w:vAlign w:val="center"/>
            <w:hideMark/>
          </w:tcPr>
          <w:p w:rsidR="008116D8" w:rsidRPr="008116D8" w:rsidRDefault="008116D8" w:rsidP="008116D8">
            <w:pPr>
              <w:spacing w:after="0" w:line="15" w:lineRule="atLeast"/>
              <w:jc w:val="center"/>
              <w:rPr>
                <w:rFonts w:ascii="Times New Roman" w:eastAsia="Times New Roman" w:hAnsi="Times New Roman" w:cs="Times New Roman"/>
                <w:sz w:val="24"/>
                <w:szCs w:val="24"/>
              </w:rPr>
            </w:pPr>
            <w:bookmarkStart w:id="2" w:name="Application"/>
            <w:bookmarkEnd w:id="2"/>
            <w:r w:rsidRPr="008116D8">
              <w:rPr>
                <w:rFonts w:ascii="Tahoma" w:eastAsia="Times New Roman" w:hAnsi="Tahoma" w:cs="Tahoma"/>
                <w:b/>
                <w:bCs/>
                <w:sz w:val="20"/>
                <w:szCs w:val="20"/>
              </w:rPr>
              <w:t>APPLICATION</w:t>
            </w:r>
          </w:p>
        </w:tc>
      </w:tr>
    </w:tbl>
    <w:p w:rsidR="008116D8" w:rsidRPr="008116D8" w:rsidRDefault="008116D8" w:rsidP="008116D8">
      <w:pPr>
        <w:spacing w:before="132" w:after="79" w:line="240" w:lineRule="auto"/>
        <w:rPr>
          <w:rFonts w:ascii="Times New Roman" w:eastAsia="Times New Roman" w:hAnsi="Times New Roman" w:cs="Times New Roman"/>
          <w:sz w:val="24"/>
          <w:szCs w:val="24"/>
        </w:rPr>
      </w:pPr>
      <w:bookmarkStart w:id="3" w:name="Criteria"/>
      <w:bookmarkEnd w:id="3"/>
      <w:r w:rsidRPr="008116D8">
        <w:rPr>
          <w:rFonts w:ascii="Tahoma" w:eastAsia="Times New Roman" w:hAnsi="Tahoma" w:cs="Tahoma"/>
          <w:b/>
          <w:bCs/>
          <w:sz w:val="16"/>
          <w:szCs w:val="16"/>
          <w:shd w:val="clear" w:color="auto" w:fill="FFFFFF"/>
        </w:rPr>
        <w:t xml:space="preserve"> Evaluation Criteria </w:t>
      </w:r>
    </w:p>
    <w:p w:rsidR="008116D8" w:rsidRPr="008116D8" w:rsidRDefault="008116D8" w:rsidP="008116D8">
      <w:pPr>
        <w:spacing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1. Three years of Bachelor's degree after twelve months of schooling; minimum percentage of 50% marks (45% for candidates of Maharashtra and Reserved Categories)</w:t>
      </w:r>
    </w:p>
    <w:p w:rsidR="008116D8" w:rsidRPr="008116D8" w:rsidRDefault="008116D8" w:rsidP="008116D8">
      <w:pPr>
        <w:spacing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2. Common Entrance Test</w:t>
      </w:r>
    </w:p>
    <w:p w:rsidR="008116D8" w:rsidRPr="008116D8" w:rsidRDefault="008116D8" w:rsidP="008116D8">
      <w:pPr>
        <w:spacing w:before="132" w:after="79" w:line="240" w:lineRule="auto"/>
        <w:rPr>
          <w:rFonts w:ascii="Times New Roman" w:eastAsia="Times New Roman" w:hAnsi="Times New Roman" w:cs="Times New Roman"/>
          <w:sz w:val="24"/>
          <w:szCs w:val="24"/>
        </w:rPr>
      </w:pPr>
      <w:bookmarkStart w:id="4" w:name="selectionprocedure"/>
      <w:bookmarkEnd w:id="4"/>
      <w:r w:rsidRPr="008116D8">
        <w:rPr>
          <w:rFonts w:ascii="Tahoma" w:eastAsia="Times New Roman" w:hAnsi="Tahoma" w:cs="Tahoma"/>
          <w:b/>
          <w:bCs/>
          <w:sz w:val="16"/>
          <w:szCs w:val="16"/>
          <w:shd w:val="clear" w:color="auto" w:fill="FFFFFF"/>
        </w:rPr>
        <w:t xml:space="preserve"> Selection Procedure </w:t>
      </w:r>
    </w:p>
    <w:p w:rsidR="008116D8" w:rsidRPr="008116D8" w:rsidRDefault="008116D8" w:rsidP="008116D8">
      <w:pPr>
        <w:spacing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1. Common Entrance Test (CET)</w:t>
      </w:r>
    </w:p>
    <w:p w:rsidR="008116D8" w:rsidRPr="008116D8" w:rsidRDefault="008116D8" w:rsidP="008116D8">
      <w:pPr>
        <w:spacing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2. Group Discussion (GD)</w:t>
      </w:r>
    </w:p>
    <w:p w:rsidR="008116D8" w:rsidRPr="008116D8" w:rsidRDefault="008116D8" w:rsidP="008116D8">
      <w:pPr>
        <w:spacing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3. Personal Interview (PI)</w:t>
      </w:r>
    </w:p>
    <w:p w:rsidR="008116D8" w:rsidRPr="008116D8" w:rsidRDefault="008116D8" w:rsidP="008116D8">
      <w:pPr>
        <w:spacing w:after="0" w:line="240" w:lineRule="auto"/>
        <w:rPr>
          <w:rFonts w:ascii="Times New Roman" w:eastAsia="Times New Roman" w:hAnsi="Times New Roman" w:cs="Times New Roman"/>
          <w:sz w:val="24"/>
          <w:szCs w:val="24"/>
        </w:rPr>
      </w:pPr>
      <w:r w:rsidRPr="008116D8">
        <w:rPr>
          <w:rFonts w:ascii="Times New Roman" w:eastAsia="Times New Roman" w:hAnsi="Times New Roman" w:cs="Times New Roman"/>
          <w:sz w:val="24"/>
          <w:szCs w:val="24"/>
        </w:rPr>
        <w:t> </w:t>
      </w:r>
    </w:p>
    <w:tbl>
      <w:tblPr>
        <w:tblW w:w="5000" w:type="pct"/>
        <w:tblCellMar>
          <w:top w:w="30" w:type="dxa"/>
          <w:left w:w="30" w:type="dxa"/>
          <w:bottom w:w="30" w:type="dxa"/>
          <w:right w:w="30" w:type="dxa"/>
        </w:tblCellMar>
        <w:tblLook w:val="04A0"/>
      </w:tblPr>
      <w:tblGrid>
        <w:gridCol w:w="9420"/>
      </w:tblGrid>
      <w:tr w:rsidR="008116D8" w:rsidRPr="008116D8" w:rsidTr="008116D8">
        <w:trPr>
          <w:trHeight w:val="15"/>
        </w:trPr>
        <w:tc>
          <w:tcPr>
            <w:tcW w:w="5000" w:type="pct"/>
            <w:tcBorders>
              <w:top w:val="nil"/>
              <w:left w:val="nil"/>
              <w:bottom w:val="nil"/>
              <w:right w:val="nil"/>
            </w:tcBorders>
            <w:shd w:val="clear" w:color="auto" w:fill="00CC99"/>
            <w:vAlign w:val="center"/>
            <w:hideMark/>
          </w:tcPr>
          <w:p w:rsidR="008116D8" w:rsidRPr="008116D8" w:rsidRDefault="008116D8" w:rsidP="008116D8">
            <w:pPr>
              <w:spacing w:after="0" w:line="15" w:lineRule="atLeast"/>
              <w:jc w:val="center"/>
              <w:rPr>
                <w:rFonts w:ascii="Times New Roman" w:eastAsia="Times New Roman" w:hAnsi="Times New Roman" w:cs="Times New Roman"/>
                <w:sz w:val="24"/>
                <w:szCs w:val="24"/>
              </w:rPr>
            </w:pPr>
            <w:bookmarkStart w:id="5" w:name="Course"/>
            <w:bookmarkEnd w:id="5"/>
            <w:r w:rsidRPr="008116D8">
              <w:rPr>
                <w:rFonts w:ascii="Tahoma" w:eastAsia="Times New Roman" w:hAnsi="Tahoma" w:cs="Tahoma"/>
                <w:b/>
                <w:bCs/>
                <w:sz w:val="20"/>
                <w:szCs w:val="20"/>
              </w:rPr>
              <w:t>COURSE</w:t>
            </w:r>
          </w:p>
        </w:tc>
      </w:tr>
    </w:tbl>
    <w:p w:rsidR="008116D8" w:rsidRPr="008116D8" w:rsidRDefault="008116D8" w:rsidP="008116D8">
      <w:pPr>
        <w:spacing w:before="132" w:after="79" w:line="240" w:lineRule="auto"/>
        <w:rPr>
          <w:rFonts w:ascii="Times New Roman" w:eastAsia="Times New Roman" w:hAnsi="Times New Roman" w:cs="Times New Roman"/>
          <w:sz w:val="24"/>
          <w:szCs w:val="24"/>
        </w:rPr>
      </w:pPr>
      <w:bookmarkStart w:id="6" w:name="1year"/>
      <w:bookmarkEnd w:id="6"/>
      <w:r w:rsidRPr="008116D8">
        <w:rPr>
          <w:rFonts w:ascii="Tahoma" w:eastAsia="Times New Roman" w:hAnsi="Tahoma" w:cs="Tahoma"/>
          <w:b/>
          <w:bCs/>
          <w:sz w:val="16"/>
          <w:szCs w:val="16"/>
          <w:shd w:val="clear" w:color="auto" w:fill="FFFFFF"/>
        </w:rPr>
        <w:t xml:space="preserve"> First Year Courses </w:t>
      </w:r>
    </w:p>
    <w:p w:rsidR="008116D8" w:rsidRPr="008116D8" w:rsidRDefault="008116D8" w:rsidP="008116D8">
      <w:pPr>
        <w:spacing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SEMESTER I</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Financial Accounting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Business Law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Cost Management &amp; Management Control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Organisational Behaviour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Principles of Management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Quantitative Methods in Management </w:t>
      </w:r>
    </w:p>
    <w:p w:rsidR="008116D8" w:rsidRPr="008116D8" w:rsidRDefault="008116D8" w:rsidP="008116D8">
      <w:pPr>
        <w:spacing w:before="132"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SEMESTER II</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Personnel Law &amp; Management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Managerial Economics</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Production Management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Marketing Management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Research Methodology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Financial Management </w:t>
      </w:r>
    </w:p>
    <w:p w:rsidR="008116D8" w:rsidRDefault="008116D8" w:rsidP="008116D8">
      <w:pPr>
        <w:spacing w:after="79" w:line="240" w:lineRule="auto"/>
        <w:rPr>
          <w:rFonts w:ascii="Tahoma" w:eastAsia="Times New Roman" w:hAnsi="Tahoma" w:cs="Tahoma"/>
          <w:b/>
          <w:bCs/>
          <w:sz w:val="16"/>
          <w:szCs w:val="16"/>
          <w:shd w:val="clear" w:color="auto" w:fill="FFFFFF"/>
        </w:rPr>
      </w:pPr>
      <w:bookmarkStart w:id="7" w:name="2year"/>
      <w:bookmarkEnd w:id="7"/>
    </w:p>
    <w:p w:rsidR="008116D8" w:rsidRDefault="008116D8" w:rsidP="008116D8">
      <w:pPr>
        <w:spacing w:after="79" w:line="240" w:lineRule="auto"/>
        <w:rPr>
          <w:rFonts w:ascii="Tahoma" w:eastAsia="Times New Roman" w:hAnsi="Tahoma" w:cs="Tahoma"/>
          <w:b/>
          <w:bCs/>
          <w:sz w:val="16"/>
          <w:szCs w:val="16"/>
          <w:shd w:val="clear" w:color="auto" w:fill="FFFFFF"/>
        </w:rPr>
      </w:pPr>
    </w:p>
    <w:p w:rsidR="008116D8" w:rsidRPr="008116D8" w:rsidRDefault="008116D8" w:rsidP="008116D8">
      <w:pPr>
        <w:spacing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shd w:val="clear" w:color="auto" w:fill="FFFFFF"/>
        </w:rPr>
        <w:t xml:space="preserve"> Second Year Courses </w:t>
      </w:r>
    </w:p>
    <w:p w:rsidR="008116D8" w:rsidRPr="008116D8" w:rsidRDefault="008116D8" w:rsidP="008116D8">
      <w:pPr>
        <w:spacing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SEMESTER I</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Introduction to Computers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Effective Communication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Human Resources Management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Business Environment</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Taxation </w:t>
      </w:r>
    </w:p>
    <w:p w:rsidR="008116D8" w:rsidRPr="008116D8" w:rsidRDefault="008116D8" w:rsidP="008116D8">
      <w:pPr>
        <w:spacing w:before="132"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SEMESTER II</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lastRenderedPageBreak/>
        <w:t>Advertising &amp; Sales Promotion Management</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Consumer / Industrial Buyer Behaviour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Marketing Research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Retail Management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Social Marketing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Sales Management </w:t>
      </w:r>
    </w:p>
    <w:p w:rsidR="008116D8" w:rsidRPr="008116D8" w:rsidRDefault="008116D8" w:rsidP="008116D8">
      <w:pPr>
        <w:spacing w:after="79" w:line="240" w:lineRule="auto"/>
        <w:rPr>
          <w:rFonts w:ascii="Times New Roman" w:eastAsia="Times New Roman" w:hAnsi="Times New Roman" w:cs="Times New Roman"/>
          <w:sz w:val="24"/>
          <w:szCs w:val="24"/>
        </w:rPr>
      </w:pPr>
      <w:bookmarkStart w:id="8" w:name="3"/>
      <w:bookmarkEnd w:id="8"/>
      <w:r w:rsidRPr="008116D8">
        <w:rPr>
          <w:rFonts w:ascii="Tahoma" w:eastAsia="Times New Roman" w:hAnsi="Tahoma" w:cs="Tahoma"/>
          <w:b/>
          <w:bCs/>
          <w:sz w:val="16"/>
          <w:szCs w:val="16"/>
          <w:shd w:val="clear" w:color="auto" w:fill="FFFFFF"/>
        </w:rPr>
        <w:t xml:space="preserve"> Third Year Courses </w:t>
      </w:r>
    </w:p>
    <w:p w:rsidR="008116D8" w:rsidRPr="008116D8" w:rsidRDefault="008116D8" w:rsidP="008116D8">
      <w:pPr>
        <w:spacing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SEMESTER I</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International Marketing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Marketing Strategy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Product Management / Industrial Marketing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Distribution Management &amp; Marketing Finance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Special studies in Marketing ( Projects ) </w:t>
      </w:r>
    </w:p>
    <w:p w:rsidR="008116D8" w:rsidRPr="008116D8" w:rsidRDefault="008116D8" w:rsidP="008116D8">
      <w:pPr>
        <w:spacing w:before="132"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SEMESTER II</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Entrepreneurship Management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Management of Environment &amp; Productivity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Project Management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Strategic Management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Business Ethics </w:t>
      </w:r>
    </w:p>
    <w:p w:rsidR="008116D8" w:rsidRPr="008116D8" w:rsidRDefault="008116D8" w:rsidP="008116D8">
      <w:pPr>
        <w:spacing w:after="0" w:line="240" w:lineRule="auto"/>
        <w:rPr>
          <w:rFonts w:ascii="Times New Roman" w:eastAsia="Times New Roman" w:hAnsi="Times New Roman" w:cs="Times New Roman"/>
          <w:sz w:val="24"/>
          <w:szCs w:val="24"/>
        </w:rPr>
      </w:pPr>
      <w:r w:rsidRPr="008116D8">
        <w:rPr>
          <w:rFonts w:ascii="Times New Roman" w:eastAsia="Times New Roman" w:hAnsi="Times New Roman" w:cs="Times New Roman"/>
          <w:sz w:val="24"/>
          <w:szCs w:val="24"/>
        </w:rPr>
        <w:t> </w:t>
      </w:r>
    </w:p>
    <w:tbl>
      <w:tblPr>
        <w:tblW w:w="5000" w:type="pct"/>
        <w:tblCellMar>
          <w:top w:w="30" w:type="dxa"/>
          <w:left w:w="30" w:type="dxa"/>
          <w:bottom w:w="30" w:type="dxa"/>
          <w:right w:w="30" w:type="dxa"/>
        </w:tblCellMar>
        <w:tblLook w:val="04A0"/>
      </w:tblPr>
      <w:tblGrid>
        <w:gridCol w:w="9420"/>
      </w:tblGrid>
      <w:tr w:rsidR="008116D8" w:rsidRPr="008116D8" w:rsidTr="008116D8">
        <w:trPr>
          <w:trHeight w:val="15"/>
        </w:trPr>
        <w:tc>
          <w:tcPr>
            <w:tcW w:w="5000" w:type="pct"/>
            <w:tcBorders>
              <w:top w:val="nil"/>
              <w:left w:val="nil"/>
              <w:bottom w:val="nil"/>
              <w:right w:val="nil"/>
            </w:tcBorders>
            <w:shd w:val="clear" w:color="auto" w:fill="00CC99"/>
            <w:vAlign w:val="center"/>
            <w:hideMark/>
          </w:tcPr>
          <w:p w:rsidR="008116D8" w:rsidRPr="008116D8" w:rsidRDefault="008116D8" w:rsidP="008116D8">
            <w:pPr>
              <w:spacing w:after="0" w:line="15" w:lineRule="atLeast"/>
              <w:jc w:val="center"/>
              <w:rPr>
                <w:rFonts w:ascii="Times New Roman" w:eastAsia="Times New Roman" w:hAnsi="Times New Roman" w:cs="Times New Roman"/>
                <w:sz w:val="24"/>
                <w:szCs w:val="24"/>
              </w:rPr>
            </w:pPr>
            <w:bookmarkStart w:id="9" w:name="Career"/>
            <w:bookmarkEnd w:id="9"/>
            <w:r w:rsidRPr="008116D8">
              <w:rPr>
                <w:rFonts w:ascii="Tahoma" w:eastAsia="Times New Roman" w:hAnsi="Tahoma" w:cs="Tahoma"/>
                <w:b/>
                <w:bCs/>
                <w:sz w:val="20"/>
                <w:szCs w:val="20"/>
              </w:rPr>
              <w:t>CAREER</w:t>
            </w:r>
          </w:p>
        </w:tc>
      </w:tr>
    </w:tbl>
    <w:p w:rsidR="008116D8" w:rsidRPr="008116D8" w:rsidRDefault="008116D8" w:rsidP="008116D8">
      <w:pPr>
        <w:spacing w:before="132" w:after="79" w:line="240" w:lineRule="auto"/>
        <w:rPr>
          <w:rFonts w:ascii="Times New Roman" w:eastAsia="Times New Roman" w:hAnsi="Times New Roman" w:cs="Times New Roman"/>
          <w:sz w:val="24"/>
          <w:szCs w:val="24"/>
        </w:rPr>
      </w:pPr>
      <w:bookmarkStart w:id="10" w:name="Employers"/>
      <w:bookmarkEnd w:id="10"/>
      <w:r w:rsidRPr="008116D8">
        <w:rPr>
          <w:rFonts w:ascii="Tahoma" w:eastAsia="Times New Roman" w:hAnsi="Tahoma" w:cs="Tahoma"/>
          <w:b/>
          <w:bCs/>
          <w:sz w:val="16"/>
          <w:szCs w:val="16"/>
          <w:shd w:val="clear" w:color="auto" w:fill="FFFFFF"/>
        </w:rPr>
        <w:t xml:space="preserve"> Major Employers </w:t>
      </w:r>
    </w:p>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A. F. Ferguson and Co.</w:t>
      </w:r>
      <w:r w:rsidRPr="008116D8">
        <w:rPr>
          <w:rFonts w:ascii="Tahoma" w:eastAsia="Times New Roman" w:hAnsi="Tahoma" w:cs="Tahoma"/>
          <w:b/>
          <w:bCs/>
          <w:sz w:val="16"/>
          <w:szCs w:val="16"/>
        </w:rPr>
        <w:br/>
        <w:t>A.C. Nielsen</w:t>
      </w:r>
      <w:r w:rsidRPr="008116D8">
        <w:rPr>
          <w:rFonts w:ascii="Tahoma" w:eastAsia="Times New Roman" w:hAnsi="Tahoma" w:cs="Tahoma"/>
          <w:b/>
          <w:bCs/>
          <w:sz w:val="16"/>
          <w:szCs w:val="16"/>
        </w:rPr>
        <w:br/>
        <w:t>ABN Amro Bank</w:t>
      </w:r>
      <w:r w:rsidRPr="008116D8">
        <w:rPr>
          <w:rFonts w:ascii="Tahoma" w:eastAsia="Times New Roman" w:hAnsi="Tahoma" w:cs="Tahoma"/>
          <w:b/>
          <w:bCs/>
          <w:sz w:val="16"/>
          <w:szCs w:val="16"/>
        </w:rPr>
        <w:br/>
        <w:t>Accenture Services Pvt. Ltd.</w:t>
      </w:r>
      <w:r w:rsidRPr="008116D8">
        <w:rPr>
          <w:rFonts w:ascii="Tahoma" w:eastAsia="Times New Roman" w:hAnsi="Tahoma" w:cs="Tahoma"/>
          <w:b/>
          <w:bCs/>
          <w:sz w:val="16"/>
          <w:szCs w:val="16"/>
        </w:rPr>
        <w:br/>
        <w:t>Aditya Birla Group</w:t>
      </w:r>
      <w:r w:rsidRPr="008116D8">
        <w:rPr>
          <w:rFonts w:ascii="Tahoma" w:eastAsia="Times New Roman" w:hAnsi="Tahoma" w:cs="Tahoma"/>
          <w:b/>
          <w:bCs/>
          <w:sz w:val="16"/>
          <w:szCs w:val="16"/>
        </w:rPr>
        <w:br/>
        <w:t>Adventity</w:t>
      </w:r>
      <w:r w:rsidRPr="008116D8">
        <w:rPr>
          <w:rFonts w:ascii="Tahoma" w:eastAsia="Times New Roman" w:hAnsi="Tahoma" w:cs="Tahoma"/>
          <w:b/>
          <w:bCs/>
          <w:sz w:val="16"/>
          <w:szCs w:val="16"/>
        </w:rPr>
        <w:br/>
        <w:t>Aegon Business Services</w:t>
      </w:r>
      <w:r w:rsidRPr="008116D8">
        <w:rPr>
          <w:rFonts w:ascii="Tahoma" w:eastAsia="Times New Roman" w:hAnsi="Tahoma" w:cs="Tahoma"/>
          <w:b/>
          <w:bCs/>
          <w:sz w:val="16"/>
          <w:szCs w:val="16"/>
        </w:rPr>
        <w:br/>
        <w:t>Agrotech Foods Ltd.</w:t>
      </w:r>
      <w:r w:rsidRPr="008116D8">
        <w:rPr>
          <w:rFonts w:ascii="Tahoma" w:eastAsia="Times New Roman" w:hAnsi="Tahoma" w:cs="Tahoma"/>
          <w:b/>
          <w:bCs/>
          <w:sz w:val="16"/>
          <w:szCs w:val="16"/>
        </w:rPr>
        <w:br/>
        <w:t>Air India</w:t>
      </w:r>
      <w:r w:rsidRPr="008116D8">
        <w:rPr>
          <w:rFonts w:ascii="Tahoma" w:eastAsia="Times New Roman" w:hAnsi="Tahoma" w:cs="Tahoma"/>
          <w:b/>
          <w:bCs/>
          <w:sz w:val="16"/>
          <w:szCs w:val="16"/>
        </w:rPr>
        <w:br/>
        <w:t>American Express Bank</w:t>
      </w:r>
      <w:r w:rsidRPr="008116D8">
        <w:rPr>
          <w:rFonts w:ascii="Tahoma" w:eastAsia="Times New Roman" w:hAnsi="Tahoma" w:cs="Tahoma"/>
          <w:b/>
          <w:bCs/>
          <w:sz w:val="16"/>
          <w:szCs w:val="16"/>
        </w:rPr>
        <w:br/>
        <w:t>Asian Paints (India) Ltd.</w:t>
      </w:r>
      <w:r w:rsidRPr="008116D8">
        <w:rPr>
          <w:rFonts w:ascii="Tahoma" w:eastAsia="Times New Roman" w:hAnsi="Tahoma" w:cs="Tahoma"/>
          <w:b/>
          <w:bCs/>
          <w:sz w:val="16"/>
          <w:szCs w:val="16"/>
        </w:rPr>
        <w:br/>
        <w:t>ASK Raymond James</w:t>
      </w:r>
      <w:r w:rsidRPr="008116D8">
        <w:rPr>
          <w:rFonts w:ascii="Tahoma" w:eastAsia="Times New Roman" w:hAnsi="Tahoma" w:cs="Tahoma"/>
          <w:b/>
          <w:bCs/>
          <w:sz w:val="16"/>
          <w:szCs w:val="16"/>
        </w:rPr>
        <w:br/>
        <w:t>Avendus Advisors</w:t>
      </w:r>
      <w:r w:rsidRPr="008116D8">
        <w:rPr>
          <w:rFonts w:ascii="Tahoma" w:eastAsia="Times New Roman" w:hAnsi="Tahoma" w:cs="Tahoma"/>
          <w:b/>
          <w:bCs/>
          <w:sz w:val="16"/>
          <w:szCs w:val="16"/>
        </w:rPr>
        <w:br/>
        <w:t>Axis Bank</w:t>
      </w:r>
      <w:r w:rsidRPr="008116D8">
        <w:rPr>
          <w:rFonts w:ascii="Tahoma" w:eastAsia="Times New Roman" w:hAnsi="Tahoma" w:cs="Tahoma"/>
          <w:b/>
          <w:bCs/>
          <w:sz w:val="16"/>
          <w:szCs w:val="16"/>
        </w:rPr>
        <w:br/>
        <w:t>Bajaj Auto</w:t>
      </w:r>
      <w:r w:rsidRPr="008116D8">
        <w:rPr>
          <w:rFonts w:ascii="Tahoma" w:eastAsia="Times New Roman" w:hAnsi="Tahoma" w:cs="Tahoma"/>
          <w:b/>
          <w:bCs/>
          <w:sz w:val="16"/>
          <w:szCs w:val="16"/>
        </w:rPr>
        <w:br/>
        <w:t>Bank of America</w:t>
      </w:r>
      <w:r w:rsidRPr="008116D8">
        <w:rPr>
          <w:rFonts w:ascii="Tahoma" w:eastAsia="Times New Roman" w:hAnsi="Tahoma" w:cs="Tahoma"/>
          <w:b/>
          <w:bCs/>
          <w:sz w:val="16"/>
          <w:szCs w:val="16"/>
        </w:rPr>
        <w:br/>
        <w:t>Bank of Baroda</w:t>
      </w:r>
      <w:r w:rsidRPr="008116D8">
        <w:rPr>
          <w:rFonts w:ascii="Tahoma" w:eastAsia="Times New Roman" w:hAnsi="Tahoma" w:cs="Tahoma"/>
          <w:b/>
          <w:bCs/>
          <w:sz w:val="16"/>
          <w:szCs w:val="16"/>
        </w:rPr>
        <w:br/>
        <w:t>Barista</w:t>
      </w:r>
      <w:r w:rsidRPr="008116D8">
        <w:rPr>
          <w:rFonts w:ascii="Tahoma" w:eastAsia="Times New Roman" w:hAnsi="Tahoma" w:cs="Tahoma"/>
          <w:b/>
          <w:bCs/>
          <w:sz w:val="16"/>
          <w:szCs w:val="16"/>
        </w:rPr>
        <w:br/>
        <w:t>Bennett Coleman &amp; Co.</w:t>
      </w:r>
      <w:r w:rsidRPr="008116D8">
        <w:rPr>
          <w:rFonts w:ascii="Tahoma" w:eastAsia="Times New Roman" w:hAnsi="Tahoma" w:cs="Tahoma"/>
          <w:b/>
          <w:bCs/>
          <w:sz w:val="16"/>
          <w:szCs w:val="16"/>
        </w:rPr>
        <w:br/>
        <w:t>Bharti Airtel</w:t>
      </w:r>
      <w:r w:rsidRPr="008116D8">
        <w:rPr>
          <w:rFonts w:ascii="Tahoma" w:eastAsia="Times New Roman" w:hAnsi="Tahoma" w:cs="Tahoma"/>
          <w:b/>
          <w:bCs/>
          <w:sz w:val="16"/>
          <w:szCs w:val="16"/>
        </w:rPr>
        <w:br/>
        <w:t>Bloomberg</w:t>
      </w:r>
      <w:r w:rsidRPr="008116D8">
        <w:rPr>
          <w:rFonts w:ascii="Tahoma" w:eastAsia="Times New Roman" w:hAnsi="Tahoma" w:cs="Tahoma"/>
          <w:b/>
          <w:bCs/>
          <w:sz w:val="16"/>
          <w:szCs w:val="16"/>
        </w:rPr>
        <w:br/>
        <w:t>Blow Plast Ltd.</w:t>
      </w:r>
      <w:r w:rsidRPr="008116D8">
        <w:rPr>
          <w:rFonts w:ascii="Tahoma" w:eastAsia="Times New Roman" w:hAnsi="Tahoma" w:cs="Tahoma"/>
          <w:b/>
          <w:bCs/>
          <w:sz w:val="16"/>
          <w:szCs w:val="16"/>
        </w:rPr>
        <w:br/>
        <w:t>Blueshift India Private Ltd.</w:t>
      </w:r>
      <w:r w:rsidRPr="008116D8">
        <w:rPr>
          <w:rFonts w:ascii="Tahoma" w:eastAsia="Times New Roman" w:hAnsi="Tahoma" w:cs="Tahoma"/>
          <w:b/>
          <w:bCs/>
          <w:sz w:val="16"/>
          <w:szCs w:val="16"/>
        </w:rPr>
        <w:br/>
        <w:t>BNP Paribas</w:t>
      </w:r>
      <w:r w:rsidRPr="008116D8">
        <w:rPr>
          <w:rFonts w:ascii="Tahoma" w:eastAsia="Times New Roman" w:hAnsi="Tahoma" w:cs="Tahoma"/>
          <w:b/>
          <w:bCs/>
          <w:sz w:val="16"/>
          <w:szCs w:val="16"/>
        </w:rPr>
        <w:br/>
        <w:t>Boston Consulting Group</w:t>
      </w:r>
      <w:r w:rsidRPr="008116D8">
        <w:rPr>
          <w:rFonts w:ascii="Tahoma" w:eastAsia="Times New Roman" w:hAnsi="Tahoma" w:cs="Tahoma"/>
          <w:b/>
          <w:bCs/>
          <w:sz w:val="16"/>
          <w:szCs w:val="16"/>
        </w:rPr>
        <w:br/>
        <w:t>BPCL</w:t>
      </w:r>
      <w:r w:rsidRPr="008116D8">
        <w:rPr>
          <w:rFonts w:ascii="Tahoma" w:eastAsia="Times New Roman" w:hAnsi="Tahoma" w:cs="Tahoma"/>
          <w:b/>
          <w:bCs/>
          <w:sz w:val="16"/>
          <w:szCs w:val="16"/>
        </w:rPr>
        <w:br/>
        <w:t>BPL Ltd.</w:t>
      </w:r>
      <w:r w:rsidRPr="008116D8">
        <w:rPr>
          <w:rFonts w:ascii="Tahoma" w:eastAsia="Times New Roman" w:hAnsi="Tahoma" w:cs="Tahoma"/>
          <w:b/>
          <w:bCs/>
          <w:sz w:val="16"/>
          <w:szCs w:val="16"/>
        </w:rPr>
        <w:br/>
        <w:t>Bristlecone</w:t>
      </w:r>
      <w:r w:rsidRPr="008116D8">
        <w:rPr>
          <w:rFonts w:ascii="Tahoma" w:eastAsia="Times New Roman" w:hAnsi="Tahoma" w:cs="Tahoma"/>
          <w:b/>
          <w:bCs/>
          <w:sz w:val="16"/>
          <w:szCs w:val="16"/>
        </w:rPr>
        <w:br/>
        <w:t>Britannia Industries Ltd.</w:t>
      </w:r>
      <w:r w:rsidRPr="008116D8">
        <w:rPr>
          <w:rFonts w:ascii="Tahoma" w:eastAsia="Times New Roman" w:hAnsi="Tahoma" w:cs="Tahoma"/>
          <w:b/>
          <w:bCs/>
          <w:sz w:val="16"/>
          <w:szCs w:val="16"/>
        </w:rPr>
        <w:br/>
        <w:t>BSE</w:t>
      </w:r>
      <w:r w:rsidRPr="008116D8">
        <w:rPr>
          <w:rFonts w:ascii="Tahoma" w:eastAsia="Times New Roman" w:hAnsi="Tahoma" w:cs="Tahoma"/>
          <w:b/>
          <w:bCs/>
          <w:sz w:val="16"/>
          <w:szCs w:val="16"/>
        </w:rPr>
        <w:br/>
        <w:t>Cadbury India Ltd.</w:t>
      </w:r>
      <w:r w:rsidRPr="008116D8">
        <w:rPr>
          <w:rFonts w:ascii="Tahoma" w:eastAsia="Times New Roman" w:hAnsi="Tahoma" w:cs="Tahoma"/>
          <w:b/>
          <w:bCs/>
          <w:sz w:val="16"/>
          <w:szCs w:val="16"/>
        </w:rPr>
        <w:br/>
        <w:t>Cambridge Technology Partners</w:t>
      </w:r>
      <w:r w:rsidRPr="008116D8">
        <w:rPr>
          <w:rFonts w:ascii="Tahoma" w:eastAsia="Times New Roman" w:hAnsi="Tahoma" w:cs="Tahoma"/>
          <w:b/>
          <w:bCs/>
          <w:sz w:val="16"/>
          <w:szCs w:val="16"/>
        </w:rPr>
        <w:br/>
        <w:t>Capgemini</w:t>
      </w:r>
      <w:r w:rsidRPr="008116D8">
        <w:rPr>
          <w:rFonts w:ascii="Tahoma" w:eastAsia="Times New Roman" w:hAnsi="Tahoma" w:cs="Tahoma"/>
          <w:b/>
          <w:bCs/>
          <w:sz w:val="16"/>
          <w:szCs w:val="16"/>
        </w:rPr>
        <w:br/>
        <w:t>Capital One Financial Services</w:t>
      </w:r>
      <w:r w:rsidRPr="008116D8">
        <w:rPr>
          <w:rFonts w:ascii="Tahoma" w:eastAsia="Times New Roman" w:hAnsi="Tahoma" w:cs="Tahoma"/>
          <w:b/>
          <w:bCs/>
          <w:sz w:val="16"/>
          <w:szCs w:val="16"/>
        </w:rPr>
        <w:br/>
      </w:r>
      <w:r w:rsidRPr="008116D8">
        <w:rPr>
          <w:rFonts w:ascii="Tahoma" w:eastAsia="Times New Roman" w:hAnsi="Tahoma" w:cs="Tahoma"/>
          <w:b/>
          <w:bCs/>
          <w:sz w:val="16"/>
          <w:szCs w:val="16"/>
        </w:rPr>
        <w:lastRenderedPageBreak/>
        <w:t>Carrier Aircon</w:t>
      </w:r>
      <w:r w:rsidRPr="008116D8">
        <w:rPr>
          <w:rFonts w:ascii="Tahoma" w:eastAsia="Times New Roman" w:hAnsi="Tahoma" w:cs="Tahoma"/>
          <w:b/>
          <w:bCs/>
          <w:sz w:val="16"/>
          <w:szCs w:val="16"/>
        </w:rPr>
        <w:br/>
        <w:t>Castrol India Ltd.</w:t>
      </w:r>
      <w:r w:rsidRPr="008116D8">
        <w:rPr>
          <w:rFonts w:ascii="Tahoma" w:eastAsia="Times New Roman" w:hAnsi="Tahoma" w:cs="Tahoma"/>
          <w:b/>
          <w:bCs/>
          <w:sz w:val="16"/>
          <w:szCs w:val="16"/>
        </w:rPr>
        <w:br/>
        <w:t>Ceat</w:t>
      </w:r>
      <w:r w:rsidRPr="008116D8">
        <w:rPr>
          <w:rFonts w:ascii="Tahoma" w:eastAsia="Times New Roman" w:hAnsi="Tahoma" w:cs="Tahoma"/>
          <w:b/>
          <w:bCs/>
          <w:sz w:val="16"/>
          <w:szCs w:val="16"/>
        </w:rPr>
        <w:br/>
        <w:t>Cipla India Ltd.</w:t>
      </w:r>
      <w:r w:rsidRPr="008116D8">
        <w:rPr>
          <w:rFonts w:ascii="Tahoma" w:eastAsia="Times New Roman" w:hAnsi="Tahoma" w:cs="Tahoma"/>
          <w:b/>
          <w:bCs/>
          <w:sz w:val="16"/>
          <w:szCs w:val="16"/>
        </w:rPr>
        <w:br/>
        <w:t>Citibank N.A.</w:t>
      </w:r>
      <w:r w:rsidRPr="008116D8">
        <w:rPr>
          <w:rFonts w:ascii="Tahoma" w:eastAsia="Times New Roman" w:hAnsi="Tahoma" w:cs="Tahoma"/>
          <w:b/>
          <w:bCs/>
          <w:sz w:val="16"/>
          <w:szCs w:val="16"/>
        </w:rPr>
        <w:br/>
        <w:t>Coca-Cola India</w:t>
      </w:r>
      <w:r w:rsidRPr="008116D8">
        <w:rPr>
          <w:rFonts w:ascii="Tahoma" w:eastAsia="Times New Roman" w:hAnsi="Tahoma" w:cs="Tahoma"/>
          <w:b/>
          <w:bCs/>
          <w:sz w:val="16"/>
          <w:szCs w:val="16"/>
        </w:rPr>
        <w:br/>
        <w:t>Cognizant Technology Solutions</w:t>
      </w:r>
      <w:r w:rsidRPr="008116D8">
        <w:rPr>
          <w:rFonts w:ascii="Tahoma" w:eastAsia="Times New Roman" w:hAnsi="Tahoma" w:cs="Tahoma"/>
          <w:b/>
          <w:bCs/>
          <w:sz w:val="16"/>
          <w:szCs w:val="16"/>
        </w:rPr>
        <w:br/>
        <w:t>Colgate Palmolive India Ltd.</w:t>
      </w:r>
      <w:r w:rsidRPr="008116D8">
        <w:rPr>
          <w:rFonts w:ascii="Tahoma" w:eastAsia="Times New Roman" w:hAnsi="Tahoma" w:cs="Tahoma"/>
          <w:b/>
          <w:bCs/>
          <w:sz w:val="16"/>
          <w:szCs w:val="16"/>
        </w:rPr>
        <w:br/>
        <w:t>Commerz Bank AG</w:t>
      </w:r>
      <w:r w:rsidRPr="008116D8">
        <w:rPr>
          <w:rFonts w:ascii="Tahoma" w:eastAsia="Times New Roman" w:hAnsi="Tahoma" w:cs="Tahoma"/>
          <w:b/>
          <w:bCs/>
          <w:sz w:val="16"/>
          <w:szCs w:val="16"/>
        </w:rPr>
        <w:br/>
        <w:t>CRISIL</w:t>
      </w:r>
      <w:r w:rsidRPr="008116D8">
        <w:rPr>
          <w:rFonts w:ascii="Tahoma" w:eastAsia="Times New Roman" w:hAnsi="Tahoma" w:cs="Tahoma"/>
          <w:b/>
          <w:bCs/>
          <w:sz w:val="16"/>
          <w:szCs w:val="16"/>
        </w:rPr>
        <w:br/>
        <w:t>Crompton Greaves Ltd.</w:t>
      </w:r>
      <w:r w:rsidRPr="008116D8">
        <w:rPr>
          <w:rFonts w:ascii="Tahoma" w:eastAsia="Times New Roman" w:hAnsi="Tahoma" w:cs="Tahoma"/>
          <w:b/>
          <w:bCs/>
          <w:sz w:val="16"/>
          <w:szCs w:val="16"/>
        </w:rPr>
        <w:br/>
        <w:t>Cummins India Ltd.</w:t>
      </w:r>
      <w:r w:rsidRPr="008116D8">
        <w:rPr>
          <w:rFonts w:ascii="Tahoma" w:eastAsia="Times New Roman" w:hAnsi="Tahoma" w:cs="Tahoma"/>
          <w:b/>
          <w:bCs/>
          <w:sz w:val="16"/>
          <w:szCs w:val="16"/>
        </w:rPr>
        <w:br/>
        <w:t>Dabur India Ltd.</w:t>
      </w:r>
      <w:r w:rsidRPr="008116D8">
        <w:rPr>
          <w:rFonts w:ascii="Tahoma" w:eastAsia="Times New Roman" w:hAnsi="Tahoma" w:cs="Tahoma"/>
          <w:b/>
          <w:bCs/>
          <w:sz w:val="16"/>
          <w:szCs w:val="16"/>
        </w:rPr>
        <w:br/>
        <w:t>Darashaw</w:t>
      </w:r>
      <w:r w:rsidRPr="008116D8">
        <w:rPr>
          <w:rFonts w:ascii="Tahoma" w:eastAsia="Times New Roman" w:hAnsi="Tahoma" w:cs="Tahoma"/>
          <w:b/>
          <w:bCs/>
          <w:sz w:val="16"/>
          <w:szCs w:val="16"/>
        </w:rPr>
        <w:br/>
        <w:t>Deloitte Consulting</w:t>
      </w:r>
      <w:r w:rsidRPr="008116D8">
        <w:rPr>
          <w:rFonts w:ascii="Tahoma" w:eastAsia="Times New Roman" w:hAnsi="Tahoma" w:cs="Tahoma"/>
          <w:b/>
          <w:bCs/>
          <w:sz w:val="16"/>
          <w:szCs w:val="16"/>
        </w:rPr>
        <w:br/>
        <w:t>Deutsche Bank</w:t>
      </w:r>
      <w:r w:rsidRPr="008116D8">
        <w:rPr>
          <w:rFonts w:ascii="Tahoma" w:eastAsia="Times New Roman" w:hAnsi="Tahoma" w:cs="Tahoma"/>
          <w:b/>
          <w:bCs/>
          <w:sz w:val="16"/>
          <w:szCs w:val="16"/>
        </w:rPr>
        <w:br/>
        <w:t>DHL</w:t>
      </w:r>
      <w:r w:rsidRPr="008116D8">
        <w:rPr>
          <w:rFonts w:ascii="Tahoma" w:eastAsia="Times New Roman" w:hAnsi="Tahoma" w:cs="Tahoma"/>
          <w:b/>
          <w:bCs/>
          <w:sz w:val="16"/>
          <w:szCs w:val="16"/>
        </w:rPr>
        <w:br/>
        <w:t>Dr. Reddy's Laboratories</w:t>
      </w:r>
      <w:r w:rsidRPr="008116D8">
        <w:rPr>
          <w:rFonts w:ascii="Tahoma" w:eastAsia="Times New Roman" w:hAnsi="Tahoma" w:cs="Tahoma"/>
          <w:b/>
          <w:bCs/>
          <w:sz w:val="16"/>
          <w:szCs w:val="16"/>
        </w:rPr>
        <w:br/>
        <w:t>DSCL</w:t>
      </w:r>
      <w:r w:rsidRPr="008116D8">
        <w:rPr>
          <w:rFonts w:ascii="Tahoma" w:eastAsia="Times New Roman" w:hAnsi="Tahoma" w:cs="Tahoma"/>
          <w:b/>
          <w:bCs/>
          <w:sz w:val="16"/>
          <w:szCs w:val="16"/>
        </w:rPr>
        <w:br/>
        <w:t>DSP Merrill Lynch</w:t>
      </w:r>
      <w:r w:rsidRPr="008116D8">
        <w:rPr>
          <w:rFonts w:ascii="Tahoma" w:eastAsia="Times New Roman" w:hAnsi="Tahoma" w:cs="Tahoma"/>
          <w:b/>
          <w:bCs/>
          <w:sz w:val="16"/>
          <w:szCs w:val="16"/>
        </w:rPr>
        <w:br/>
        <w:t>Dupont</w:t>
      </w:r>
      <w:r w:rsidRPr="008116D8">
        <w:rPr>
          <w:rFonts w:ascii="Tahoma" w:eastAsia="Times New Roman" w:hAnsi="Tahoma" w:cs="Tahoma"/>
          <w:b/>
          <w:bCs/>
          <w:sz w:val="16"/>
          <w:szCs w:val="16"/>
        </w:rPr>
        <w:br/>
        <w:t>Edelweiss Capital</w:t>
      </w:r>
      <w:r w:rsidRPr="008116D8">
        <w:rPr>
          <w:rFonts w:ascii="Tahoma" w:eastAsia="Times New Roman" w:hAnsi="Tahoma" w:cs="Tahoma"/>
          <w:b/>
          <w:bCs/>
          <w:sz w:val="16"/>
          <w:szCs w:val="16"/>
        </w:rPr>
        <w:br/>
        <w:t>Electrolux Kelvinator Ltd.</w:t>
      </w:r>
      <w:r w:rsidRPr="008116D8">
        <w:rPr>
          <w:rFonts w:ascii="Tahoma" w:eastAsia="Times New Roman" w:hAnsi="Tahoma" w:cs="Tahoma"/>
          <w:b/>
          <w:bCs/>
          <w:sz w:val="16"/>
          <w:szCs w:val="16"/>
        </w:rPr>
        <w:br/>
        <w:t>Ernst &amp; Young</w:t>
      </w:r>
      <w:r w:rsidRPr="008116D8">
        <w:rPr>
          <w:rFonts w:ascii="Tahoma" w:eastAsia="Times New Roman" w:hAnsi="Tahoma" w:cs="Tahoma"/>
          <w:b/>
          <w:bCs/>
          <w:sz w:val="16"/>
          <w:szCs w:val="16"/>
        </w:rPr>
        <w:br/>
        <w:t>Essar</w:t>
      </w:r>
      <w:r w:rsidRPr="008116D8">
        <w:rPr>
          <w:rFonts w:ascii="Tahoma" w:eastAsia="Times New Roman" w:hAnsi="Tahoma" w:cs="Tahoma"/>
          <w:b/>
          <w:bCs/>
          <w:sz w:val="16"/>
          <w:szCs w:val="16"/>
        </w:rPr>
        <w:br/>
        <w:t>EXIM Bank</w:t>
      </w:r>
      <w:r w:rsidRPr="008116D8">
        <w:rPr>
          <w:rFonts w:ascii="Tahoma" w:eastAsia="Times New Roman" w:hAnsi="Tahoma" w:cs="Tahoma"/>
          <w:b/>
          <w:bCs/>
          <w:sz w:val="16"/>
          <w:szCs w:val="16"/>
        </w:rPr>
        <w:br/>
        <w:t>EXL Services</w:t>
      </w:r>
      <w:r w:rsidRPr="008116D8">
        <w:rPr>
          <w:rFonts w:ascii="Tahoma" w:eastAsia="Times New Roman" w:hAnsi="Tahoma" w:cs="Tahoma"/>
          <w:b/>
          <w:bCs/>
          <w:sz w:val="16"/>
          <w:szCs w:val="16"/>
        </w:rPr>
        <w:br/>
        <w:t>Faber Castell (I) Pvt. Ltd.</w:t>
      </w:r>
      <w:r w:rsidRPr="008116D8">
        <w:rPr>
          <w:rFonts w:ascii="Tahoma" w:eastAsia="Times New Roman" w:hAnsi="Tahoma" w:cs="Tahoma"/>
          <w:b/>
          <w:bCs/>
          <w:sz w:val="16"/>
          <w:szCs w:val="16"/>
        </w:rPr>
        <w:br/>
        <w:t>FCB Ulka Advertising Ltd.</w:t>
      </w:r>
      <w:r w:rsidRPr="008116D8">
        <w:rPr>
          <w:rFonts w:ascii="Tahoma" w:eastAsia="Times New Roman" w:hAnsi="Tahoma" w:cs="Tahoma"/>
          <w:b/>
          <w:bCs/>
          <w:sz w:val="16"/>
          <w:szCs w:val="16"/>
        </w:rPr>
        <w:br/>
        <w:t>First Gulf Bank</w:t>
      </w:r>
      <w:r w:rsidRPr="008116D8">
        <w:rPr>
          <w:rFonts w:ascii="Tahoma" w:eastAsia="Times New Roman" w:hAnsi="Tahoma" w:cs="Tahoma"/>
          <w:b/>
          <w:bCs/>
          <w:sz w:val="16"/>
          <w:szCs w:val="16"/>
        </w:rPr>
        <w:br/>
        <w:t>Frito Lay</w:t>
      </w:r>
      <w:r w:rsidRPr="008116D8">
        <w:rPr>
          <w:rFonts w:ascii="Tahoma" w:eastAsia="Times New Roman" w:hAnsi="Tahoma" w:cs="Tahoma"/>
          <w:b/>
          <w:bCs/>
          <w:sz w:val="16"/>
          <w:szCs w:val="16"/>
        </w:rPr>
        <w:br/>
        <w:t>GE India</w:t>
      </w:r>
      <w:r w:rsidRPr="008116D8">
        <w:rPr>
          <w:rFonts w:ascii="Tahoma" w:eastAsia="Times New Roman" w:hAnsi="Tahoma" w:cs="Tahoma"/>
          <w:b/>
          <w:bCs/>
          <w:sz w:val="16"/>
          <w:szCs w:val="16"/>
        </w:rPr>
        <w:br/>
        <w:t>GE Money</w:t>
      </w:r>
      <w:r w:rsidRPr="008116D8">
        <w:rPr>
          <w:rFonts w:ascii="Tahoma" w:eastAsia="Times New Roman" w:hAnsi="Tahoma" w:cs="Tahoma"/>
          <w:b/>
          <w:bCs/>
          <w:sz w:val="16"/>
          <w:szCs w:val="16"/>
        </w:rPr>
        <w:br/>
        <w:t>Genpact</w:t>
      </w:r>
      <w:r w:rsidRPr="008116D8">
        <w:rPr>
          <w:rFonts w:ascii="Tahoma" w:eastAsia="Times New Roman" w:hAnsi="Tahoma" w:cs="Tahoma"/>
          <w:b/>
          <w:bCs/>
          <w:sz w:val="16"/>
          <w:szCs w:val="16"/>
        </w:rPr>
        <w:br/>
        <w:t xml:space="preserve">GlaxoSmithKline </w:t>
      </w:r>
      <w:r w:rsidRPr="008116D8">
        <w:rPr>
          <w:rFonts w:ascii="Tahoma" w:eastAsia="Times New Roman" w:hAnsi="Tahoma" w:cs="Tahoma"/>
          <w:b/>
          <w:bCs/>
          <w:sz w:val="16"/>
          <w:szCs w:val="16"/>
        </w:rPr>
        <w:br/>
        <w:t>Godrej &amp; Boyce</w:t>
      </w:r>
      <w:r w:rsidRPr="008116D8">
        <w:rPr>
          <w:rFonts w:ascii="Tahoma" w:eastAsia="Times New Roman" w:hAnsi="Tahoma" w:cs="Tahoma"/>
          <w:b/>
          <w:bCs/>
          <w:sz w:val="16"/>
          <w:szCs w:val="16"/>
        </w:rPr>
        <w:br/>
        <w:t xml:space="preserve">Godrej Consumer Products Ltd. </w:t>
      </w:r>
      <w:r w:rsidRPr="008116D8">
        <w:rPr>
          <w:rFonts w:ascii="Tahoma" w:eastAsia="Times New Roman" w:hAnsi="Tahoma" w:cs="Tahoma"/>
          <w:b/>
          <w:bCs/>
          <w:sz w:val="16"/>
          <w:szCs w:val="16"/>
        </w:rPr>
        <w:br/>
        <w:t xml:space="preserve">Goldman Sachs </w:t>
      </w:r>
      <w:r w:rsidRPr="008116D8">
        <w:rPr>
          <w:rFonts w:ascii="Tahoma" w:eastAsia="Times New Roman" w:hAnsi="Tahoma" w:cs="Tahoma"/>
          <w:b/>
          <w:bCs/>
          <w:sz w:val="16"/>
          <w:szCs w:val="16"/>
        </w:rPr>
        <w:br/>
        <w:t>Grindwell Norton Ltd.</w:t>
      </w:r>
      <w:r w:rsidRPr="008116D8">
        <w:rPr>
          <w:rFonts w:ascii="Tahoma" w:eastAsia="Times New Roman" w:hAnsi="Tahoma" w:cs="Tahoma"/>
          <w:b/>
          <w:bCs/>
          <w:sz w:val="16"/>
          <w:szCs w:val="16"/>
        </w:rPr>
        <w:br/>
        <w:t>HCCB(P)L</w:t>
      </w:r>
      <w:r w:rsidRPr="008116D8">
        <w:rPr>
          <w:rFonts w:ascii="Tahoma" w:eastAsia="Times New Roman" w:hAnsi="Tahoma" w:cs="Tahoma"/>
          <w:b/>
          <w:bCs/>
          <w:sz w:val="16"/>
          <w:szCs w:val="16"/>
        </w:rPr>
        <w:br/>
        <w:t>HCL Info Systems</w:t>
      </w:r>
      <w:r w:rsidRPr="008116D8">
        <w:rPr>
          <w:rFonts w:ascii="Tahoma" w:eastAsia="Times New Roman" w:hAnsi="Tahoma" w:cs="Tahoma"/>
          <w:b/>
          <w:bCs/>
          <w:sz w:val="16"/>
          <w:szCs w:val="16"/>
        </w:rPr>
        <w:br/>
        <w:t>HCL Technologies</w:t>
      </w:r>
      <w:r w:rsidRPr="008116D8">
        <w:rPr>
          <w:rFonts w:ascii="Tahoma" w:eastAsia="Times New Roman" w:hAnsi="Tahoma" w:cs="Tahoma"/>
          <w:b/>
          <w:bCs/>
          <w:sz w:val="16"/>
          <w:szCs w:val="16"/>
        </w:rPr>
        <w:br/>
        <w:t>HDFC</w:t>
      </w:r>
      <w:r w:rsidRPr="008116D8">
        <w:rPr>
          <w:rFonts w:ascii="Tahoma" w:eastAsia="Times New Roman" w:hAnsi="Tahoma" w:cs="Tahoma"/>
          <w:b/>
          <w:bCs/>
          <w:sz w:val="16"/>
          <w:szCs w:val="16"/>
        </w:rPr>
        <w:br/>
        <w:t>HDFC Bank</w:t>
      </w:r>
      <w:r w:rsidRPr="008116D8">
        <w:rPr>
          <w:rFonts w:ascii="Tahoma" w:eastAsia="Times New Roman" w:hAnsi="Tahoma" w:cs="Tahoma"/>
          <w:b/>
          <w:bCs/>
          <w:sz w:val="16"/>
          <w:szCs w:val="16"/>
        </w:rPr>
        <w:br/>
        <w:t>Heinz India Ltd.</w:t>
      </w:r>
      <w:r w:rsidRPr="008116D8">
        <w:rPr>
          <w:rFonts w:ascii="Tahoma" w:eastAsia="Times New Roman" w:hAnsi="Tahoma" w:cs="Tahoma"/>
          <w:b/>
          <w:bCs/>
          <w:sz w:val="16"/>
          <w:szCs w:val="16"/>
        </w:rPr>
        <w:br/>
        <w:t>Henkel Spic India Ltd.</w:t>
      </w:r>
      <w:r w:rsidRPr="008116D8">
        <w:rPr>
          <w:rFonts w:ascii="Tahoma" w:eastAsia="Times New Roman" w:hAnsi="Tahoma" w:cs="Tahoma"/>
          <w:b/>
          <w:bCs/>
          <w:sz w:val="16"/>
          <w:szCs w:val="16"/>
        </w:rPr>
        <w:br/>
        <w:t>Hero Honda Motors India Ltd.</w:t>
      </w:r>
      <w:r w:rsidRPr="008116D8">
        <w:rPr>
          <w:rFonts w:ascii="Tahoma" w:eastAsia="Times New Roman" w:hAnsi="Tahoma" w:cs="Tahoma"/>
          <w:b/>
          <w:bCs/>
          <w:sz w:val="16"/>
          <w:szCs w:val="16"/>
        </w:rPr>
        <w:br/>
        <w:t>Hewlett-Packard</w:t>
      </w:r>
      <w:r w:rsidRPr="008116D8">
        <w:rPr>
          <w:rFonts w:ascii="Tahoma" w:eastAsia="Times New Roman" w:hAnsi="Tahoma" w:cs="Tahoma"/>
          <w:b/>
          <w:bCs/>
          <w:sz w:val="16"/>
          <w:szCs w:val="16"/>
        </w:rPr>
        <w:br/>
        <w:t>Hindustan Thompson Associates</w:t>
      </w:r>
      <w:r w:rsidRPr="008116D8">
        <w:rPr>
          <w:rFonts w:ascii="Tahoma" w:eastAsia="Times New Roman" w:hAnsi="Tahoma" w:cs="Tahoma"/>
          <w:b/>
          <w:bCs/>
          <w:sz w:val="16"/>
          <w:szCs w:val="16"/>
        </w:rPr>
        <w:br/>
        <w:t>Hindustan Times</w:t>
      </w:r>
      <w:r w:rsidRPr="008116D8">
        <w:rPr>
          <w:rFonts w:ascii="Tahoma" w:eastAsia="Times New Roman" w:hAnsi="Tahoma" w:cs="Tahoma"/>
          <w:b/>
          <w:bCs/>
          <w:sz w:val="16"/>
          <w:szCs w:val="16"/>
        </w:rPr>
        <w:br/>
        <w:t>Hindustan Unilever Ltd.</w:t>
      </w:r>
      <w:r w:rsidRPr="008116D8">
        <w:rPr>
          <w:rFonts w:ascii="Tahoma" w:eastAsia="Times New Roman" w:hAnsi="Tahoma" w:cs="Tahoma"/>
          <w:b/>
          <w:bCs/>
          <w:sz w:val="16"/>
          <w:szCs w:val="16"/>
        </w:rPr>
        <w:br/>
        <w:t>HPCL</w:t>
      </w:r>
      <w:r w:rsidRPr="008116D8">
        <w:rPr>
          <w:rFonts w:ascii="Tahoma" w:eastAsia="Times New Roman" w:hAnsi="Tahoma" w:cs="Tahoma"/>
          <w:b/>
          <w:bCs/>
          <w:sz w:val="16"/>
          <w:szCs w:val="16"/>
        </w:rPr>
        <w:br/>
        <w:t>HSBC</w:t>
      </w:r>
    </w:p>
    <w:tbl>
      <w:tblPr>
        <w:tblW w:w="5000" w:type="pct"/>
        <w:tblCellMar>
          <w:top w:w="300" w:type="dxa"/>
          <w:left w:w="300" w:type="dxa"/>
          <w:bottom w:w="300" w:type="dxa"/>
          <w:right w:w="300" w:type="dxa"/>
        </w:tblCellMar>
        <w:tblLook w:val="04A0"/>
      </w:tblPr>
      <w:tblGrid>
        <w:gridCol w:w="1594"/>
        <w:gridCol w:w="1793"/>
        <w:gridCol w:w="1693"/>
        <w:gridCol w:w="1793"/>
        <w:gridCol w:w="1693"/>
        <w:gridCol w:w="1394"/>
      </w:tblGrid>
      <w:tr w:rsidR="008116D8" w:rsidRPr="008116D8" w:rsidTr="008116D8">
        <w:trPr>
          <w:trHeight w:val="45"/>
        </w:trPr>
        <w:tc>
          <w:tcPr>
            <w:tcW w:w="800" w:type="pct"/>
            <w:tcBorders>
              <w:top w:val="nil"/>
              <w:left w:val="nil"/>
              <w:bottom w:val="nil"/>
              <w:right w:val="nil"/>
            </w:tcBorders>
            <w:vAlign w:val="center"/>
            <w:hideMark/>
          </w:tcPr>
          <w:p w:rsidR="008116D8" w:rsidRPr="008116D8" w:rsidRDefault="008116D8" w:rsidP="008116D8">
            <w:pPr>
              <w:spacing w:before="100" w:beforeAutospacing="1" w:after="100" w:afterAutospacing="1" w:line="45" w:lineRule="atLeast"/>
              <w:jc w:val="center"/>
              <w:rPr>
                <w:rFonts w:ascii="Times New Roman" w:eastAsia="Times New Roman" w:hAnsi="Times New Roman" w:cs="Times New Roman"/>
                <w:sz w:val="24"/>
                <w:szCs w:val="24"/>
              </w:rPr>
            </w:pPr>
          </w:p>
        </w:tc>
        <w:tc>
          <w:tcPr>
            <w:tcW w:w="900" w:type="pct"/>
            <w:tcBorders>
              <w:top w:val="nil"/>
              <w:left w:val="nil"/>
              <w:bottom w:val="nil"/>
              <w:right w:val="nil"/>
            </w:tcBorders>
            <w:vAlign w:val="center"/>
            <w:hideMark/>
          </w:tcPr>
          <w:p w:rsidR="008116D8" w:rsidRPr="008116D8" w:rsidRDefault="008116D8" w:rsidP="008116D8">
            <w:pPr>
              <w:spacing w:after="0" w:line="45" w:lineRule="atLeast"/>
              <w:jc w:val="center"/>
              <w:rPr>
                <w:rFonts w:ascii="Times New Roman" w:eastAsia="Times New Roman" w:hAnsi="Times New Roman" w:cs="Times New Roman"/>
                <w:sz w:val="24"/>
                <w:szCs w:val="24"/>
              </w:rPr>
            </w:pPr>
          </w:p>
        </w:tc>
        <w:tc>
          <w:tcPr>
            <w:tcW w:w="850" w:type="pct"/>
            <w:tcBorders>
              <w:top w:val="nil"/>
              <w:left w:val="nil"/>
              <w:bottom w:val="nil"/>
              <w:right w:val="nil"/>
            </w:tcBorders>
            <w:vAlign w:val="center"/>
            <w:hideMark/>
          </w:tcPr>
          <w:p w:rsidR="008116D8" w:rsidRPr="008116D8" w:rsidRDefault="008116D8" w:rsidP="008116D8">
            <w:pPr>
              <w:spacing w:after="0" w:line="45" w:lineRule="atLeast"/>
              <w:jc w:val="center"/>
              <w:rPr>
                <w:rFonts w:ascii="Times New Roman" w:eastAsia="Times New Roman" w:hAnsi="Times New Roman" w:cs="Times New Roman"/>
                <w:sz w:val="24"/>
                <w:szCs w:val="24"/>
              </w:rPr>
            </w:pPr>
          </w:p>
        </w:tc>
        <w:tc>
          <w:tcPr>
            <w:tcW w:w="900" w:type="pct"/>
            <w:tcBorders>
              <w:top w:val="nil"/>
              <w:left w:val="nil"/>
              <w:bottom w:val="nil"/>
              <w:right w:val="nil"/>
            </w:tcBorders>
            <w:vAlign w:val="center"/>
            <w:hideMark/>
          </w:tcPr>
          <w:p w:rsidR="008116D8" w:rsidRPr="008116D8" w:rsidRDefault="008116D8" w:rsidP="008116D8">
            <w:pPr>
              <w:spacing w:after="0" w:line="45" w:lineRule="atLeast"/>
              <w:jc w:val="center"/>
              <w:rPr>
                <w:rFonts w:ascii="Times New Roman" w:eastAsia="Times New Roman" w:hAnsi="Times New Roman" w:cs="Times New Roman"/>
                <w:sz w:val="24"/>
                <w:szCs w:val="24"/>
              </w:rPr>
            </w:pPr>
          </w:p>
        </w:tc>
        <w:tc>
          <w:tcPr>
            <w:tcW w:w="850" w:type="pct"/>
            <w:tcBorders>
              <w:top w:val="nil"/>
              <w:left w:val="nil"/>
              <w:bottom w:val="nil"/>
              <w:right w:val="nil"/>
            </w:tcBorders>
            <w:vAlign w:val="center"/>
            <w:hideMark/>
          </w:tcPr>
          <w:p w:rsidR="008116D8" w:rsidRPr="008116D8" w:rsidRDefault="008116D8" w:rsidP="008116D8">
            <w:pPr>
              <w:spacing w:after="0" w:line="45" w:lineRule="atLeast"/>
              <w:jc w:val="center"/>
              <w:rPr>
                <w:rFonts w:ascii="Times New Roman" w:eastAsia="Times New Roman" w:hAnsi="Times New Roman" w:cs="Times New Roman"/>
                <w:sz w:val="24"/>
                <w:szCs w:val="24"/>
              </w:rPr>
            </w:pPr>
          </w:p>
        </w:tc>
        <w:tc>
          <w:tcPr>
            <w:tcW w:w="850" w:type="pct"/>
            <w:tcBorders>
              <w:top w:val="nil"/>
              <w:left w:val="nil"/>
              <w:bottom w:val="nil"/>
              <w:right w:val="nil"/>
            </w:tcBorders>
            <w:vAlign w:val="center"/>
            <w:hideMark/>
          </w:tcPr>
          <w:p w:rsidR="008116D8" w:rsidRPr="008116D8" w:rsidRDefault="008116D8" w:rsidP="008116D8">
            <w:pPr>
              <w:spacing w:after="0" w:line="45" w:lineRule="atLeast"/>
              <w:jc w:val="center"/>
              <w:rPr>
                <w:rFonts w:ascii="Times New Roman" w:eastAsia="Times New Roman" w:hAnsi="Times New Roman" w:cs="Times New Roman"/>
                <w:sz w:val="24"/>
                <w:szCs w:val="24"/>
              </w:rPr>
            </w:pPr>
          </w:p>
        </w:tc>
      </w:tr>
    </w:tbl>
    <w:p w:rsidR="008116D8" w:rsidRPr="008116D8" w:rsidRDefault="008116D8" w:rsidP="008116D8">
      <w:pPr>
        <w:spacing w:after="79" w:line="240" w:lineRule="auto"/>
        <w:ind w:left="198"/>
        <w:rPr>
          <w:rFonts w:ascii="Times New Roman" w:eastAsia="Times New Roman" w:hAnsi="Times New Roman" w:cs="Times New Roman"/>
          <w:sz w:val="24"/>
          <w:szCs w:val="24"/>
        </w:rPr>
      </w:pPr>
      <w:r w:rsidRPr="008116D8">
        <w:rPr>
          <w:rFonts w:ascii="Tahoma" w:eastAsia="Times New Roman" w:hAnsi="Tahoma" w:cs="Tahoma"/>
          <w:b/>
          <w:bCs/>
          <w:sz w:val="16"/>
          <w:szCs w:val="16"/>
        </w:rPr>
        <w:t>i2 Technologies</w:t>
      </w:r>
      <w:r w:rsidRPr="008116D8">
        <w:rPr>
          <w:rFonts w:ascii="Tahoma" w:eastAsia="Times New Roman" w:hAnsi="Tahoma" w:cs="Tahoma"/>
          <w:b/>
          <w:bCs/>
          <w:sz w:val="16"/>
          <w:szCs w:val="16"/>
        </w:rPr>
        <w:br/>
        <w:t>IBM Consulting</w:t>
      </w:r>
      <w:r w:rsidRPr="008116D8">
        <w:rPr>
          <w:rFonts w:ascii="Tahoma" w:eastAsia="Times New Roman" w:hAnsi="Tahoma" w:cs="Tahoma"/>
          <w:b/>
          <w:bCs/>
          <w:sz w:val="16"/>
          <w:szCs w:val="16"/>
        </w:rPr>
        <w:br/>
        <w:t>ICI India Ltd.</w:t>
      </w:r>
      <w:r w:rsidRPr="008116D8">
        <w:rPr>
          <w:rFonts w:ascii="Tahoma" w:eastAsia="Times New Roman" w:hAnsi="Tahoma" w:cs="Tahoma"/>
          <w:b/>
          <w:bCs/>
          <w:sz w:val="16"/>
          <w:szCs w:val="16"/>
        </w:rPr>
        <w:br/>
        <w:t>ICICI Bank Ltd.</w:t>
      </w:r>
      <w:r w:rsidRPr="008116D8">
        <w:rPr>
          <w:rFonts w:ascii="Tahoma" w:eastAsia="Times New Roman" w:hAnsi="Tahoma" w:cs="Tahoma"/>
          <w:b/>
          <w:bCs/>
          <w:sz w:val="16"/>
          <w:szCs w:val="16"/>
        </w:rPr>
        <w:br/>
        <w:t>ICICI Prudential</w:t>
      </w:r>
      <w:r w:rsidRPr="008116D8">
        <w:rPr>
          <w:rFonts w:ascii="Tahoma" w:eastAsia="Times New Roman" w:hAnsi="Tahoma" w:cs="Tahoma"/>
          <w:b/>
          <w:bCs/>
          <w:sz w:val="16"/>
          <w:szCs w:val="16"/>
        </w:rPr>
        <w:br/>
        <w:t>ICICI Securities</w:t>
      </w:r>
      <w:r w:rsidRPr="008116D8">
        <w:rPr>
          <w:rFonts w:ascii="Tahoma" w:eastAsia="Times New Roman" w:hAnsi="Tahoma" w:cs="Tahoma"/>
          <w:b/>
          <w:bCs/>
          <w:sz w:val="16"/>
          <w:szCs w:val="16"/>
        </w:rPr>
        <w:br/>
        <w:t>ICRA</w:t>
      </w:r>
      <w:r w:rsidRPr="008116D8">
        <w:rPr>
          <w:rFonts w:ascii="Tahoma" w:eastAsia="Times New Roman" w:hAnsi="Tahoma" w:cs="Tahoma"/>
          <w:b/>
          <w:bCs/>
          <w:sz w:val="16"/>
          <w:szCs w:val="16"/>
        </w:rPr>
        <w:br/>
        <w:t>IDBI Bank</w:t>
      </w:r>
      <w:r w:rsidRPr="008116D8">
        <w:rPr>
          <w:rFonts w:ascii="Tahoma" w:eastAsia="Times New Roman" w:hAnsi="Tahoma" w:cs="Tahoma"/>
          <w:b/>
          <w:bCs/>
          <w:sz w:val="16"/>
          <w:szCs w:val="16"/>
        </w:rPr>
        <w:br/>
        <w:t>IDBI Caps.</w:t>
      </w:r>
      <w:r w:rsidRPr="008116D8">
        <w:rPr>
          <w:rFonts w:ascii="Tahoma" w:eastAsia="Times New Roman" w:hAnsi="Tahoma" w:cs="Tahoma"/>
          <w:b/>
          <w:bCs/>
          <w:sz w:val="16"/>
          <w:szCs w:val="16"/>
        </w:rPr>
        <w:br/>
        <w:t>IDFC</w:t>
      </w:r>
      <w:r w:rsidRPr="008116D8">
        <w:rPr>
          <w:rFonts w:ascii="Tahoma" w:eastAsia="Times New Roman" w:hAnsi="Tahoma" w:cs="Tahoma"/>
          <w:b/>
          <w:bCs/>
          <w:sz w:val="16"/>
          <w:szCs w:val="16"/>
        </w:rPr>
        <w:br/>
      </w:r>
      <w:r w:rsidRPr="008116D8">
        <w:rPr>
          <w:rFonts w:ascii="Tahoma" w:eastAsia="Times New Roman" w:hAnsi="Tahoma" w:cs="Tahoma"/>
          <w:b/>
          <w:bCs/>
          <w:sz w:val="16"/>
          <w:szCs w:val="16"/>
        </w:rPr>
        <w:lastRenderedPageBreak/>
        <w:t>i-flex</w:t>
      </w:r>
      <w:r w:rsidRPr="008116D8">
        <w:rPr>
          <w:rFonts w:ascii="Tahoma" w:eastAsia="Times New Roman" w:hAnsi="Tahoma" w:cs="Tahoma"/>
          <w:b/>
          <w:bCs/>
          <w:sz w:val="16"/>
          <w:szCs w:val="16"/>
        </w:rPr>
        <w:br/>
        <w:t xml:space="preserve">IL &amp; FS </w:t>
      </w:r>
      <w:r w:rsidRPr="008116D8">
        <w:rPr>
          <w:rFonts w:ascii="Tahoma" w:eastAsia="Times New Roman" w:hAnsi="Tahoma" w:cs="Tahoma"/>
          <w:b/>
          <w:bCs/>
          <w:sz w:val="16"/>
          <w:szCs w:val="16"/>
        </w:rPr>
        <w:br/>
        <w:t>IMRB</w:t>
      </w:r>
      <w:r w:rsidRPr="008116D8">
        <w:rPr>
          <w:rFonts w:ascii="Tahoma" w:eastAsia="Times New Roman" w:hAnsi="Tahoma" w:cs="Tahoma"/>
          <w:b/>
          <w:bCs/>
          <w:sz w:val="16"/>
          <w:szCs w:val="16"/>
        </w:rPr>
        <w:br/>
        <w:t>India Bulls</w:t>
      </w:r>
      <w:r w:rsidRPr="008116D8">
        <w:rPr>
          <w:rFonts w:ascii="Tahoma" w:eastAsia="Times New Roman" w:hAnsi="Tahoma" w:cs="Tahoma"/>
          <w:b/>
          <w:bCs/>
          <w:sz w:val="16"/>
          <w:szCs w:val="16"/>
        </w:rPr>
        <w:br/>
        <w:t>India Infoline</w:t>
      </w:r>
      <w:r w:rsidRPr="008116D8">
        <w:rPr>
          <w:rFonts w:ascii="Tahoma" w:eastAsia="Times New Roman" w:hAnsi="Tahoma" w:cs="Tahoma"/>
          <w:b/>
          <w:bCs/>
          <w:sz w:val="16"/>
          <w:szCs w:val="16"/>
        </w:rPr>
        <w:br/>
        <w:t>Infosys</w:t>
      </w:r>
      <w:r w:rsidRPr="008116D8">
        <w:rPr>
          <w:rFonts w:ascii="Tahoma" w:eastAsia="Times New Roman" w:hAnsi="Tahoma" w:cs="Tahoma"/>
          <w:b/>
          <w:bCs/>
          <w:sz w:val="16"/>
          <w:szCs w:val="16"/>
        </w:rPr>
        <w:br/>
        <w:t>Infosys BPO</w:t>
      </w:r>
      <w:r w:rsidRPr="008116D8">
        <w:rPr>
          <w:rFonts w:ascii="Tahoma" w:eastAsia="Times New Roman" w:hAnsi="Tahoma" w:cs="Tahoma"/>
          <w:b/>
          <w:bCs/>
          <w:sz w:val="16"/>
          <w:szCs w:val="16"/>
        </w:rPr>
        <w:br/>
        <w:t>ING Vysya Bank</w:t>
      </w:r>
      <w:r w:rsidRPr="008116D8">
        <w:rPr>
          <w:rFonts w:ascii="Tahoma" w:eastAsia="Times New Roman" w:hAnsi="Tahoma" w:cs="Tahoma"/>
          <w:b/>
          <w:bCs/>
          <w:sz w:val="16"/>
          <w:szCs w:val="16"/>
        </w:rPr>
        <w:br/>
        <w:t>ING Vysya Mutual Fund</w:t>
      </w:r>
      <w:r w:rsidRPr="008116D8">
        <w:rPr>
          <w:rFonts w:ascii="Tahoma" w:eastAsia="Times New Roman" w:hAnsi="Tahoma" w:cs="Tahoma"/>
          <w:b/>
          <w:bCs/>
          <w:sz w:val="16"/>
          <w:szCs w:val="16"/>
        </w:rPr>
        <w:br/>
        <w:t>Ingersoll-Rand</w:t>
      </w:r>
      <w:r w:rsidRPr="008116D8">
        <w:rPr>
          <w:rFonts w:ascii="Tahoma" w:eastAsia="Times New Roman" w:hAnsi="Tahoma" w:cs="Tahoma"/>
          <w:b/>
          <w:bCs/>
          <w:sz w:val="16"/>
          <w:szCs w:val="16"/>
        </w:rPr>
        <w:br/>
        <w:t>Intel Corp.</w:t>
      </w:r>
      <w:r w:rsidRPr="008116D8">
        <w:rPr>
          <w:rFonts w:ascii="Tahoma" w:eastAsia="Times New Roman" w:hAnsi="Tahoma" w:cs="Tahoma"/>
          <w:b/>
          <w:bCs/>
          <w:sz w:val="16"/>
          <w:szCs w:val="16"/>
        </w:rPr>
        <w:br/>
        <w:t>IOCL</w:t>
      </w:r>
      <w:r w:rsidRPr="008116D8">
        <w:rPr>
          <w:rFonts w:ascii="Tahoma" w:eastAsia="Times New Roman" w:hAnsi="Tahoma" w:cs="Tahoma"/>
          <w:b/>
          <w:bCs/>
          <w:sz w:val="16"/>
          <w:szCs w:val="16"/>
        </w:rPr>
        <w:br/>
        <w:t>ITC</w:t>
      </w:r>
      <w:r w:rsidRPr="008116D8">
        <w:rPr>
          <w:rFonts w:ascii="Tahoma" w:eastAsia="Times New Roman" w:hAnsi="Tahoma" w:cs="Tahoma"/>
          <w:b/>
          <w:bCs/>
          <w:sz w:val="16"/>
          <w:szCs w:val="16"/>
        </w:rPr>
        <w:br/>
        <w:t>J P Morgan Chase</w:t>
      </w:r>
      <w:r w:rsidRPr="008116D8">
        <w:rPr>
          <w:rFonts w:ascii="Tahoma" w:eastAsia="Times New Roman" w:hAnsi="Tahoma" w:cs="Tahoma"/>
          <w:b/>
          <w:bCs/>
          <w:sz w:val="16"/>
          <w:szCs w:val="16"/>
        </w:rPr>
        <w:br/>
        <w:t>Johnson &amp; Johnson</w:t>
      </w:r>
      <w:r w:rsidRPr="008116D8">
        <w:rPr>
          <w:rFonts w:ascii="Tahoma" w:eastAsia="Times New Roman" w:hAnsi="Tahoma" w:cs="Tahoma"/>
          <w:b/>
          <w:bCs/>
          <w:sz w:val="16"/>
          <w:szCs w:val="16"/>
        </w:rPr>
        <w:br/>
        <w:t>Jumbo Electronics</w:t>
      </w:r>
      <w:r w:rsidRPr="008116D8">
        <w:rPr>
          <w:rFonts w:ascii="Tahoma" w:eastAsia="Times New Roman" w:hAnsi="Tahoma" w:cs="Tahoma"/>
          <w:b/>
          <w:bCs/>
          <w:sz w:val="16"/>
          <w:szCs w:val="16"/>
        </w:rPr>
        <w:br/>
        <w:t>JWT</w:t>
      </w:r>
      <w:r w:rsidRPr="008116D8">
        <w:rPr>
          <w:rFonts w:ascii="Tahoma" w:eastAsia="Times New Roman" w:hAnsi="Tahoma" w:cs="Tahoma"/>
          <w:b/>
          <w:bCs/>
          <w:sz w:val="16"/>
          <w:szCs w:val="16"/>
        </w:rPr>
        <w:br/>
        <w:t>Kelloggsa</w:t>
      </w:r>
      <w:r w:rsidRPr="008116D8">
        <w:rPr>
          <w:rFonts w:ascii="Tahoma" w:eastAsia="Times New Roman" w:hAnsi="Tahoma" w:cs="Tahoma"/>
          <w:b/>
          <w:bCs/>
          <w:sz w:val="16"/>
          <w:szCs w:val="16"/>
        </w:rPr>
        <w:br/>
        <w:t>Kotak Mahindra Group</w:t>
      </w:r>
      <w:r w:rsidRPr="008116D8">
        <w:rPr>
          <w:rFonts w:ascii="Tahoma" w:eastAsia="Times New Roman" w:hAnsi="Tahoma" w:cs="Tahoma"/>
          <w:b/>
          <w:bCs/>
          <w:sz w:val="16"/>
          <w:szCs w:val="16"/>
        </w:rPr>
        <w:br/>
        <w:t>Kotak Securities</w:t>
      </w:r>
      <w:r w:rsidRPr="008116D8">
        <w:rPr>
          <w:rFonts w:ascii="Tahoma" w:eastAsia="Times New Roman" w:hAnsi="Tahoma" w:cs="Tahoma"/>
          <w:b/>
          <w:bCs/>
          <w:sz w:val="16"/>
          <w:szCs w:val="16"/>
        </w:rPr>
        <w:br/>
        <w:t>KPIT Cummins</w:t>
      </w:r>
      <w:r w:rsidRPr="008116D8">
        <w:rPr>
          <w:rFonts w:ascii="Tahoma" w:eastAsia="Times New Roman" w:hAnsi="Tahoma" w:cs="Tahoma"/>
          <w:b/>
          <w:bCs/>
          <w:sz w:val="16"/>
          <w:szCs w:val="16"/>
        </w:rPr>
        <w:br/>
        <w:t>KPMG</w:t>
      </w:r>
      <w:r w:rsidRPr="008116D8">
        <w:rPr>
          <w:rFonts w:ascii="Tahoma" w:eastAsia="Times New Roman" w:hAnsi="Tahoma" w:cs="Tahoma"/>
          <w:b/>
          <w:bCs/>
          <w:sz w:val="16"/>
          <w:szCs w:val="16"/>
        </w:rPr>
        <w:br/>
        <w:t>L. G. Electronics</w:t>
      </w:r>
      <w:r w:rsidRPr="008116D8">
        <w:rPr>
          <w:rFonts w:ascii="Tahoma" w:eastAsia="Times New Roman" w:hAnsi="Tahoma" w:cs="Tahoma"/>
          <w:b/>
          <w:bCs/>
          <w:sz w:val="16"/>
          <w:szCs w:val="16"/>
        </w:rPr>
        <w:br/>
        <w:t>Larsen &amp; Toubro Ltd.</w:t>
      </w:r>
      <w:r w:rsidRPr="008116D8">
        <w:rPr>
          <w:rFonts w:ascii="Tahoma" w:eastAsia="Times New Roman" w:hAnsi="Tahoma" w:cs="Tahoma"/>
          <w:b/>
          <w:bCs/>
          <w:sz w:val="16"/>
          <w:szCs w:val="16"/>
        </w:rPr>
        <w:br/>
        <w:t>Lehman Brothers</w:t>
      </w:r>
      <w:r w:rsidRPr="008116D8">
        <w:rPr>
          <w:rFonts w:ascii="Tahoma" w:eastAsia="Times New Roman" w:hAnsi="Tahoma" w:cs="Tahoma"/>
          <w:b/>
          <w:bCs/>
          <w:sz w:val="16"/>
          <w:szCs w:val="16"/>
        </w:rPr>
        <w:br/>
        <w:t>LKP Forex</w:t>
      </w:r>
      <w:r w:rsidRPr="008116D8">
        <w:rPr>
          <w:rFonts w:ascii="Tahoma" w:eastAsia="Times New Roman" w:hAnsi="Tahoma" w:cs="Tahoma"/>
          <w:b/>
          <w:bCs/>
          <w:sz w:val="16"/>
          <w:szCs w:val="16"/>
        </w:rPr>
        <w:br/>
        <w:t>Lodha Group</w:t>
      </w:r>
      <w:r w:rsidRPr="008116D8">
        <w:rPr>
          <w:rFonts w:ascii="Tahoma" w:eastAsia="Times New Roman" w:hAnsi="Tahoma" w:cs="Tahoma"/>
          <w:b/>
          <w:bCs/>
          <w:sz w:val="16"/>
          <w:szCs w:val="16"/>
        </w:rPr>
        <w:br/>
        <w:t>L'Oreal</w:t>
      </w:r>
      <w:r w:rsidRPr="008116D8">
        <w:rPr>
          <w:rFonts w:ascii="Tahoma" w:eastAsia="Times New Roman" w:hAnsi="Tahoma" w:cs="Tahoma"/>
          <w:b/>
          <w:bCs/>
          <w:sz w:val="16"/>
          <w:szCs w:val="16"/>
        </w:rPr>
        <w:br/>
        <w:t>Lowe Lintas &amp; Partners</w:t>
      </w:r>
      <w:r w:rsidRPr="008116D8">
        <w:rPr>
          <w:rFonts w:ascii="Tahoma" w:eastAsia="Times New Roman" w:hAnsi="Tahoma" w:cs="Tahoma"/>
          <w:b/>
          <w:bCs/>
          <w:sz w:val="16"/>
          <w:szCs w:val="16"/>
        </w:rPr>
        <w:br/>
        <w:t>Lupin</w:t>
      </w:r>
      <w:r w:rsidRPr="008116D8">
        <w:rPr>
          <w:rFonts w:ascii="Tahoma" w:eastAsia="Times New Roman" w:hAnsi="Tahoma" w:cs="Tahoma"/>
          <w:b/>
          <w:bCs/>
          <w:sz w:val="16"/>
          <w:szCs w:val="16"/>
        </w:rPr>
        <w:br/>
        <w:t>Madison</w:t>
      </w:r>
      <w:r w:rsidRPr="008116D8">
        <w:rPr>
          <w:rFonts w:ascii="Tahoma" w:eastAsia="Times New Roman" w:hAnsi="Tahoma" w:cs="Tahoma"/>
          <w:b/>
          <w:bCs/>
          <w:sz w:val="16"/>
          <w:szCs w:val="16"/>
        </w:rPr>
        <w:br/>
        <w:t>Maersk Sealand</w:t>
      </w:r>
      <w:r w:rsidRPr="008116D8">
        <w:rPr>
          <w:rFonts w:ascii="Tahoma" w:eastAsia="Times New Roman" w:hAnsi="Tahoma" w:cs="Tahoma"/>
          <w:b/>
          <w:bCs/>
          <w:sz w:val="16"/>
          <w:szCs w:val="16"/>
        </w:rPr>
        <w:br/>
        <w:t>Mahindra &amp; Mahindra Ltd.</w:t>
      </w:r>
      <w:r w:rsidRPr="008116D8">
        <w:rPr>
          <w:rFonts w:ascii="Tahoma" w:eastAsia="Times New Roman" w:hAnsi="Tahoma" w:cs="Tahoma"/>
          <w:b/>
          <w:bCs/>
          <w:sz w:val="16"/>
          <w:szCs w:val="16"/>
        </w:rPr>
        <w:br/>
        <w:t>Man Financial</w:t>
      </w:r>
      <w:r w:rsidRPr="008116D8">
        <w:rPr>
          <w:rFonts w:ascii="Tahoma" w:eastAsia="Times New Roman" w:hAnsi="Tahoma" w:cs="Tahoma"/>
          <w:b/>
          <w:bCs/>
          <w:sz w:val="16"/>
          <w:szCs w:val="16"/>
        </w:rPr>
        <w:br/>
        <w:t>Marico Industries Ltd.</w:t>
      </w:r>
      <w:r w:rsidRPr="008116D8">
        <w:rPr>
          <w:rFonts w:ascii="Tahoma" w:eastAsia="Times New Roman" w:hAnsi="Tahoma" w:cs="Tahoma"/>
          <w:b/>
          <w:bCs/>
          <w:sz w:val="16"/>
          <w:szCs w:val="16"/>
        </w:rPr>
        <w:br/>
        <w:t>Maruti Udyog Ltd.</w:t>
      </w:r>
      <w:r w:rsidRPr="008116D8">
        <w:rPr>
          <w:rFonts w:ascii="Tahoma" w:eastAsia="Times New Roman" w:hAnsi="Tahoma" w:cs="Tahoma"/>
          <w:b/>
          <w:bCs/>
          <w:sz w:val="16"/>
          <w:szCs w:val="16"/>
        </w:rPr>
        <w:br/>
        <w:t>Mastek Ltd.</w:t>
      </w:r>
      <w:r w:rsidRPr="008116D8">
        <w:rPr>
          <w:rFonts w:ascii="Tahoma" w:eastAsia="Times New Roman" w:hAnsi="Tahoma" w:cs="Tahoma"/>
          <w:b/>
          <w:bCs/>
          <w:sz w:val="16"/>
          <w:szCs w:val="16"/>
        </w:rPr>
        <w:br/>
        <w:t>Max New York Life</w:t>
      </w:r>
      <w:r w:rsidRPr="008116D8">
        <w:rPr>
          <w:rFonts w:ascii="Tahoma" w:eastAsia="Times New Roman" w:hAnsi="Tahoma" w:cs="Tahoma"/>
          <w:b/>
          <w:bCs/>
          <w:sz w:val="16"/>
          <w:szCs w:val="16"/>
        </w:rPr>
        <w:br/>
        <w:t>McKinsey &amp; Co.</w:t>
      </w:r>
      <w:r w:rsidRPr="008116D8">
        <w:rPr>
          <w:rFonts w:ascii="Tahoma" w:eastAsia="Times New Roman" w:hAnsi="Tahoma" w:cs="Tahoma"/>
          <w:b/>
          <w:bCs/>
          <w:sz w:val="16"/>
          <w:szCs w:val="16"/>
        </w:rPr>
        <w:br/>
        <w:t>Mercedes- Benz (India) Ltd.</w:t>
      </w:r>
      <w:r w:rsidRPr="008116D8">
        <w:rPr>
          <w:rFonts w:ascii="Tahoma" w:eastAsia="Times New Roman" w:hAnsi="Tahoma" w:cs="Tahoma"/>
          <w:b/>
          <w:bCs/>
          <w:sz w:val="16"/>
          <w:szCs w:val="16"/>
        </w:rPr>
        <w:br/>
        <w:t>MetLife</w:t>
      </w:r>
      <w:r w:rsidRPr="008116D8">
        <w:rPr>
          <w:rFonts w:ascii="Tahoma" w:eastAsia="Times New Roman" w:hAnsi="Tahoma" w:cs="Tahoma"/>
          <w:b/>
          <w:bCs/>
          <w:sz w:val="16"/>
          <w:szCs w:val="16"/>
        </w:rPr>
        <w:br/>
        <w:t>Morgan Stanley</w:t>
      </w:r>
      <w:r w:rsidRPr="008116D8">
        <w:rPr>
          <w:rFonts w:ascii="Tahoma" w:eastAsia="Times New Roman" w:hAnsi="Tahoma" w:cs="Tahoma"/>
          <w:b/>
          <w:bCs/>
          <w:sz w:val="16"/>
          <w:szCs w:val="16"/>
        </w:rPr>
        <w:br/>
        <w:t>Motorola</w:t>
      </w:r>
      <w:r w:rsidRPr="008116D8">
        <w:rPr>
          <w:rFonts w:ascii="Tahoma" w:eastAsia="Times New Roman" w:hAnsi="Tahoma" w:cs="Tahoma"/>
          <w:b/>
          <w:bCs/>
          <w:sz w:val="16"/>
          <w:szCs w:val="16"/>
        </w:rPr>
        <w:br/>
        <w:t>Mphasis BFL</w:t>
      </w:r>
      <w:r w:rsidRPr="008116D8">
        <w:rPr>
          <w:rFonts w:ascii="Tahoma" w:eastAsia="Times New Roman" w:hAnsi="Tahoma" w:cs="Tahoma"/>
          <w:b/>
          <w:bCs/>
          <w:sz w:val="16"/>
          <w:szCs w:val="16"/>
        </w:rPr>
        <w:br/>
        <w:t>Murugappa Group</w:t>
      </w:r>
      <w:r w:rsidRPr="008116D8">
        <w:rPr>
          <w:rFonts w:ascii="Tahoma" w:eastAsia="Times New Roman" w:hAnsi="Tahoma" w:cs="Tahoma"/>
          <w:b/>
          <w:bCs/>
          <w:sz w:val="16"/>
          <w:szCs w:val="16"/>
        </w:rPr>
        <w:br/>
        <w:t>N. M. Rothschild &amp; Sons</w:t>
      </w:r>
      <w:r w:rsidRPr="008116D8">
        <w:rPr>
          <w:rFonts w:ascii="Tahoma" w:eastAsia="Times New Roman" w:hAnsi="Tahoma" w:cs="Tahoma"/>
          <w:b/>
          <w:bCs/>
          <w:sz w:val="16"/>
          <w:szCs w:val="16"/>
        </w:rPr>
        <w:br/>
        <w:t>Nerolac Paints</w:t>
      </w:r>
      <w:r w:rsidRPr="008116D8">
        <w:rPr>
          <w:rFonts w:ascii="Tahoma" w:eastAsia="Times New Roman" w:hAnsi="Tahoma" w:cs="Tahoma"/>
          <w:b/>
          <w:bCs/>
          <w:sz w:val="16"/>
          <w:szCs w:val="16"/>
        </w:rPr>
        <w:br/>
        <w:t>Nestle (India) Ltd.</w:t>
      </w:r>
      <w:r w:rsidRPr="008116D8">
        <w:rPr>
          <w:rFonts w:ascii="Tahoma" w:eastAsia="Times New Roman" w:hAnsi="Tahoma" w:cs="Tahoma"/>
          <w:b/>
          <w:bCs/>
          <w:sz w:val="16"/>
          <w:szCs w:val="16"/>
        </w:rPr>
        <w:br/>
        <w:t>Nicholas Piramal</w:t>
      </w:r>
      <w:r w:rsidRPr="008116D8">
        <w:rPr>
          <w:rFonts w:ascii="Tahoma" w:eastAsia="Times New Roman" w:hAnsi="Tahoma" w:cs="Tahoma"/>
          <w:b/>
          <w:bCs/>
          <w:sz w:val="16"/>
          <w:szCs w:val="16"/>
        </w:rPr>
        <w:br/>
        <w:t>NIIT Ltd.</w:t>
      </w:r>
      <w:r w:rsidRPr="008116D8">
        <w:rPr>
          <w:rFonts w:ascii="Tahoma" w:eastAsia="Times New Roman" w:hAnsi="Tahoma" w:cs="Tahoma"/>
          <w:b/>
          <w:bCs/>
          <w:sz w:val="16"/>
          <w:szCs w:val="16"/>
        </w:rPr>
        <w:br/>
        <w:t>Novartis</w:t>
      </w:r>
      <w:r w:rsidRPr="008116D8">
        <w:rPr>
          <w:rFonts w:ascii="Tahoma" w:eastAsia="Times New Roman" w:hAnsi="Tahoma" w:cs="Tahoma"/>
          <w:b/>
          <w:bCs/>
          <w:sz w:val="16"/>
          <w:szCs w:val="16"/>
        </w:rPr>
        <w:br/>
        <w:t>NSE</w:t>
      </w:r>
      <w:r w:rsidRPr="008116D8">
        <w:rPr>
          <w:rFonts w:ascii="Tahoma" w:eastAsia="Times New Roman" w:hAnsi="Tahoma" w:cs="Tahoma"/>
          <w:b/>
          <w:bCs/>
          <w:sz w:val="16"/>
          <w:szCs w:val="16"/>
        </w:rPr>
        <w:br/>
        <w:t>Olam International</w:t>
      </w:r>
      <w:r w:rsidRPr="008116D8">
        <w:rPr>
          <w:rFonts w:ascii="Tahoma" w:eastAsia="Times New Roman" w:hAnsi="Tahoma" w:cs="Tahoma"/>
          <w:b/>
          <w:bCs/>
          <w:sz w:val="16"/>
          <w:szCs w:val="16"/>
        </w:rPr>
        <w:br/>
        <w:t>Omnitech</w:t>
      </w:r>
      <w:r w:rsidRPr="008116D8">
        <w:rPr>
          <w:rFonts w:ascii="Tahoma" w:eastAsia="Times New Roman" w:hAnsi="Tahoma" w:cs="Tahoma"/>
          <w:b/>
          <w:bCs/>
          <w:sz w:val="16"/>
          <w:szCs w:val="16"/>
        </w:rPr>
        <w:br/>
        <w:t>Onida</w:t>
      </w:r>
      <w:r w:rsidRPr="008116D8">
        <w:rPr>
          <w:rFonts w:ascii="Tahoma" w:eastAsia="Times New Roman" w:hAnsi="Tahoma" w:cs="Tahoma"/>
          <w:b/>
          <w:bCs/>
          <w:sz w:val="16"/>
          <w:szCs w:val="16"/>
        </w:rPr>
        <w:br/>
        <w:t xml:space="preserve">Patni Computer Systems </w:t>
      </w:r>
      <w:r w:rsidRPr="008116D8">
        <w:rPr>
          <w:rFonts w:ascii="Tahoma" w:eastAsia="Times New Roman" w:hAnsi="Tahoma" w:cs="Tahoma"/>
          <w:b/>
          <w:bCs/>
          <w:sz w:val="16"/>
          <w:szCs w:val="16"/>
        </w:rPr>
        <w:br/>
        <w:t>Pepsico Holdings (I) Pvt. Ltd.</w:t>
      </w:r>
      <w:r w:rsidRPr="008116D8">
        <w:rPr>
          <w:rFonts w:ascii="Tahoma" w:eastAsia="Times New Roman" w:hAnsi="Tahoma" w:cs="Tahoma"/>
          <w:b/>
          <w:bCs/>
          <w:sz w:val="16"/>
          <w:szCs w:val="16"/>
        </w:rPr>
        <w:br/>
        <w:t>Perfetti Van Melle</w:t>
      </w:r>
      <w:r w:rsidRPr="008116D8">
        <w:rPr>
          <w:rFonts w:ascii="Tahoma" w:eastAsia="Times New Roman" w:hAnsi="Tahoma" w:cs="Tahoma"/>
          <w:b/>
          <w:bCs/>
          <w:sz w:val="16"/>
          <w:szCs w:val="16"/>
        </w:rPr>
        <w:br/>
        <w:t>Philips India Ltd.</w:t>
      </w:r>
      <w:r w:rsidRPr="008116D8">
        <w:rPr>
          <w:rFonts w:ascii="Tahoma" w:eastAsia="Times New Roman" w:hAnsi="Tahoma" w:cs="Tahoma"/>
          <w:b/>
          <w:bCs/>
          <w:sz w:val="16"/>
          <w:szCs w:val="16"/>
        </w:rPr>
        <w:br/>
        <w:t>Pidilite Industries Ltd.</w:t>
      </w:r>
      <w:r w:rsidRPr="008116D8">
        <w:rPr>
          <w:rFonts w:ascii="Tahoma" w:eastAsia="Times New Roman" w:hAnsi="Tahoma" w:cs="Tahoma"/>
          <w:b/>
          <w:bCs/>
          <w:sz w:val="16"/>
          <w:szCs w:val="16"/>
        </w:rPr>
        <w:br/>
        <w:t>Piramal Enterprises Ltd.</w:t>
      </w:r>
      <w:r w:rsidRPr="008116D8">
        <w:rPr>
          <w:rFonts w:ascii="Tahoma" w:eastAsia="Times New Roman" w:hAnsi="Tahoma" w:cs="Tahoma"/>
          <w:b/>
          <w:bCs/>
          <w:sz w:val="16"/>
          <w:szCs w:val="16"/>
        </w:rPr>
        <w:br/>
        <w:t>Planetasia.com Ltd.</w:t>
      </w:r>
      <w:r w:rsidRPr="008116D8">
        <w:rPr>
          <w:rFonts w:ascii="Tahoma" w:eastAsia="Times New Roman" w:hAnsi="Tahoma" w:cs="Tahoma"/>
          <w:b/>
          <w:bCs/>
          <w:sz w:val="16"/>
          <w:szCs w:val="16"/>
        </w:rPr>
        <w:br/>
        <w:t>Polaris Software</w:t>
      </w:r>
      <w:r w:rsidRPr="008116D8">
        <w:rPr>
          <w:rFonts w:ascii="Tahoma" w:eastAsia="Times New Roman" w:hAnsi="Tahoma" w:cs="Tahoma"/>
          <w:b/>
          <w:bCs/>
          <w:sz w:val="16"/>
          <w:szCs w:val="16"/>
        </w:rPr>
        <w:br/>
        <w:t>PriceWaterhouseCoopers</w:t>
      </w:r>
      <w:r w:rsidRPr="008116D8">
        <w:rPr>
          <w:rFonts w:ascii="Tahoma" w:eastAsia="Times New Roman" w:hAnsi="Tahoma" w:cs="Tahoma"/>
          <w:b/>
          <w:bCs/>
          <w:sz w:val="16"/>
          <w:szCs w:val="16"/>
        </w:rPr>
        <w:br/>
        <w:t>Principal AMC</w:t>
      </w:r>
      <w:r w:rsidRPr="008116D8">
        <w:rPr>
          <w:rFonts w:ascii="Tahoma" w:eastAsia="Times New Roman" w:hAnsi="Tahoma" w:cs="Tahoma"/>
          <w:b/>
          <w:bCs/>
          <w:sz w:val="16"/>
          <w:szCs w:val="16"/>
        </w:rPr>
        <w:br/>
        <w:t>Procter &amp; Gamble</w:t>
      </w:r>
      <w:r w:rsidRPr="008116D8">
        <w:rPr>
          <w:rFonts w:ascii="Tahoma" w:eastAsia="Times New Roman" w:hAnsi="Tahoma" w:cs="Tahoma"/>
          <w:b/>
          <w:bCs/>
          <w:sz w:val="16"/>
          <w:szCs w:val="16"/>
        </w:rPr>
        <w:br/>
        <w:t>Ranbaxy</w:t>
      </w:r>
      <w:r w:rsidRPr="008116D8">
        <w:rPr>
          <w:rFonts w:ascii="Tahoma" w:eastAsia="Times New Roman" w:hAnsi="Tahoma" w:cs="Tahoma"/>
          <w:b/>
          <w:bCs/>
          <w:sz w:val="16"/>
          <w:szCs w:val="16"/>
        </w:rPr>
        <w:br/>
      </w:r>
      <w:r w:rsidRPr="008116D8">
        <w:rPr>
          <w:rFonts w:ascii="Tahoma" w:eastAsia="Times New Roman" w:hAnsi="Tahoma" w:cs="Tahoma"/>
          <w:b/>
          <w:bCs/>
          <w:sz w:val="16"/>
          <w:szCs w:val="16"/>
        </w:rPr>
        <w:lastRenderedPageBreak/>
        <w:t>RBI</w:t>
      </w:r>
      <w:r w:rsidRPr="008116D8">
        <w:rPr>
          <w:rFonts w:ascii="Tahoma" w:eastAsia="Times New Roman" w:hAnsi="Tahoma" w:cs="Tahoma"/>
          <w:b/>
          <w:bCs/>
          <w:sz w:val="16"/>
          <w:szCs w:val="16"/>
        </w:rPr>
        <w:br/>
        <w:t>Reckitt Benckiser India Ltd.</w:t>
      </w:r>
      <w:r w:rsidRPr="008116D8">
        <w:rPr>
          <w:rFonts w:ascii="Tahoma" w:eastAsia="Times New Roman" w:hAnsi="Tahoma" w:cs="Tahoma"/>
          <w:b/>
          <w:bCs/>
          <w:sz w:val="16"/>
          <w:szCs w:val="16"/>
        </w:rPr>
        <w:br/>
        <w:t>Saffron Advisors</w:t>
      </w:r>
      <w:r w:rsidRPr="008116D8">
        <w:rPr>
          <w:rFonts w:ascii="Tahoma" w:eastAsia="Times New Roman" w:hAnsi="Tahoma" w:cs="Tahoma"/>
          <w:b/>
          <w:bCs/>
          <w:sz w:val="16"/>
          <w:szCs w:val="16"/>
        </w:rPr>
        <w:br/>
        <w:t>Saint Gobain</w:t>
      </w:r>
      <w:r w:rsidRPr="008116D8">
        <w:rPr>
          <w:rFonts w:ascii="Tahoma" w:eastAsia="Times New Roman" w:hAnsi="Tahoma" w:cs="Tahoma"/>
          <w:b/>
          <w:bCs/>
          <w:sz w:val="16"/>
          <w:szCs w:val="16"/>
        </w:rPr>
        <w:br/>
        <w:t>Sandstone Capital</w:t>
      </w:r>
      <w:r w:rsidRPr="008116D8">
        <w:rPr>
          <w:rFonts w:ascii="Tahoma" w:eastAsia="Times New Roman" w:hAnsi="Tahoma" w:cs="Tahoma"/>
          <w:b/>
          <w:bCs/>
          <w:sz w:val="16"/>
          <w:szCs w:val="16"/>
        </w:rPr>
        <w:br/>
        <w:t>Satyam Computers</w:t>
      </w:r>
      <w:r w:rsidRPr="008116D8">
        <w:rPr>
          <w:rFonts w:ascii="Tahoma" w:eastAsia="Times New Roman" w:hAnsi="Tahoma" w:cs="Tahoma"/>
          <w:b/>
          <w:bCs/>
          <w:sz w:val="16"/>
          <w:szCs w:val="16"/>
        </w:rPr>
        <w:br/>
        <w:t>SBI</w:t>
      </w:r>
      <w:r w:rsidRPr="008116D8">
        <w:rPr>
          <w:rFonts w:ascii="Tahoma" w:eastAsia="Times New Roman" w:hAnsi="Tahoma" w:cs="Tahoma"/>
          <w:b/>
          <w:bCs/>
          <w:sz w:val="16"/>
          <w:szCs w:val="16"/>
        </w:rPr>
        <w:br/>
        <w:t>SBI Capital Markets Ltd.</w:t>
      </w:r>
      <w:r w:rsidRPr="008116D8">
        <w:rPr>
          <w:rFonts w:ascii="Tahoma" w:eastAsia="Times New Roman" w:hAnsi="Tahoma" w:cs="Tahoma"/>
          <w:b/>
          <w:bCs/>
          <w:sz w:val="16"/>
          <w:szCs w:val="16"/>
        </w:rPr>
        <w:br/>
        <w:t>SEBI</w:t>
      </w:r>
      <w:r w:rsidRPr="008116D8">
        <w:rPr>
          <w:rFonts w:ascii="Tahoma" w:eastAsia="Times New Roman" w:hAnsi="Tahoma" w:cs="Tahoma"/>
          <w:b/>
          <w:bCs/>
          <w:sz w:val="16"/>
          <w:szCs w:val="16"/>
        </w:rPr>
        <w:br/>
        <w:t>Sharaf Group</w:t>
      </w:r>
      <w:r w:rsidRPr="008116D8">
        <w:rPr>
          <w:rFonts w:ascii="Tahoma" w:eastAsia="Times New Roman" w:hAnsi="Tahoma" w:cs="Tahoma"/>
          <w:b/>
          <w:bCs/>
          <w:sz w:val="16"/>
          <w:szCs w:val="16"/>
        </w:rPr>
        <w:br/>
        <w:t>Sony Entertainment Television Ltd.</w:t>
      </w:r>
      <w:r w:rsidRPr="008116D8">
        <w:rPr>
          <w:rFonts w:ascii="Tahoma" w:eastAsia="Times New Roman" w:hAnsi="Tahoma" w:cs="Tahoma"/>
          <w:b/>
          <w:bCs/>
          <w:sz w:val="16"/>
          <w:szCs w:val="16"/>
        </w:rPr>
        <w:br/>
        <w:t>SSKI</w:t>
      </w:r>
      <w:r w:rsidRPr="008116D8">
        <w:rPr>
          <w:rFonts w:ascii="Tahoma" w:eastAsia="Times New Roman" w:hAnsi="Tahoma" w:cs="Tahoma"/>
          <w:b/>
          <w:bCs/>
          <w:sz w:val="16"/>
          <w:szCs w:val="16"/>
        </w:rPr>
        <w:br/>
        <w:t>Standard Chartered Bank</w:t>
      </w:r>
      <w:r w:rsidRPr="008116D8">
        <w:rPr>
          <w:rFonts w:ascii="Tahoma" w:eastAsia="Times New Roman" w:hAnsi="Tahoma" w:cs="Tahoma"/>
          <w:b/>
          <w:bCs/>
          <w:sz w:val="16"/>
          <w:szCs w:val="16"/>
        </w:rPr>
        <w:br/>
        <w:t>Sun Pharma</w:t>
      </w:r>
      <w:r w:rsidRPr="008116D8">
        <w:rPr>
          <w:rFonts w:ascii="Tahoma" w:eastAsia="Times New Roman" w:hAnsi="Tahoma" w:cs="Tahoma"/>
          <w:b/>
          <w:bCs/>
          <w:sz w:val="16"/>
          <w:szCs w:val="16"/>
        </w:rPr>
        <w:br/>
        <w:t>Syntel</w:t>
      </w:r>
      <w:r w:rsidRPr="008116D8">
        <w:rPr>
          <w:rFonts w:ascii="Tahoma" w:eastAsia="Times New Roman" w:hAnsi="Tahoma" w:cs="Tahoma"/>
          <w:b/>
          <w:bCs/>
          <w:sz w:val="16"/>
          <w:szCs w:val="16"/>
        </w:rPr>
        <w:br/>
        <w:t>Tata Administrative Service</w:t>
      </w:r>
      <w:r w:rsidRPr="008116D8">
        <w:rPr>
          <w:rFonts w:ascii="Tahoma" w:eastAsia="Times New Roman" w:hAnsi="Tahoma" w:cs="Tahoma"/>
          <w:b/>
          <w:bCs/>
          <w:sz w:val="16"/>
          <w:szCs w:val="16"/>
        </w:rPr>
        <w:br/>
        <w:t>Tata Consultancy Services</w:t>
      </w:r>
      <w:r w:rsidRPr="008116D8">
        <w:rPr>
          <w:rFonts w:ascii="Tahoma" w:eastAsia="Times New Roman" w:hAnsi="Tahoma" w:cs="Tahoma"/>
          <w:b/>
          <w:bCs/>
          <w:sz w:val="16"/>
          <w:szCs w:val="16"/>
        </w:rPr>
        <w:br/>
        <w:t>Tata Infotech</w:t>
      </w:r>
      <w:r w:rsidRPr="008116D8">
        <w:rPr>
          <w:rFonts w:ascii="Tahoma" w:eastAsia="Times New Roman" w:hAnsi="Tahoma" w:cs="Tahoma"/>
          <w:b/>
          <w:bCs/>
          <w:sz w:val="16"/>
          <w:szCs w:val="16"/>
        </w:rPr>
        <w:br/>
        <w:t>Tata Motors</w:t>
      </w:r>
      <w:r w:rsidRPr="008116D8">
        <w:rPr>
          <w:rFonts w:ascii="Tahoma" w:eastAsia="Times New Roman" w:hAnsi="Tahoma" w:cs="Tahoma"/>
          <w:b/>
          <w:bCs/>
          <w:sz w:val="16"/>
          <w:szCs w:val="16"/>
        </w:rPr>
        <w:br/>
        <w:t>Tata Strategic Management Group</w:t>
      </w:r>
      <w:r w:rsidRPr="008116D8">
        <w:rPr>
          <w:rFonts w:ascii="Tahoma" w:eastAsia="Times New Roman" w:hAnsi="Tahoma" w:cs="Tahoma"/>
          <w:b/>
          <w:bCs/>
          <w:sz w:val="16"/>
          <w:szCs w:val="16"/>
        </w:rPr>
        <w:br/>
        <w:t>Tata Teleservices</w:t>
      </w:r>
      <w:r w:rsidRPr="008116D8">
        <w:rPr>
          <w:rFonts w:ascii="Tahoma" w:eastAsia="Times New Roman" w:hAnsi="Tahoma" w:cs="Tahoma"/>
          <w:b/>
          <w:bCs/>
          <w:sz w:val="16"/>
          <w:szCs w:val="16"/>
        </w:rPr>
        <w:br/>
        <w:t>Tech Mahindra</w:t>
      </w:r>
      <w:r w:rsidRPr="008116D8">
        <w:rPr>
          <w:rFonts w:ascii="Tahoma" w:eastAsia="Times New Roman" w:hAnsi="Tahoma" w:cs="Tahoma"/>
          <w:b/>
          <w:bCs/>
          <w:sz w:val="16"/>
          <w:szCs w:val="16"/>
        </w:rPr>
        <w:br/>
        <w:t>Tech Pacific</w:t>
      </w:r>
      <w:r w:rsidRPr="008116D8">
        <w:rPr>
          <w:rFonts w:ascii="Tahoma" w:eastAsia="Times New Roman" w:hAnsi="Tahoma" w:cs="Tahoma"/>
          <w:b/>
          <w:bCs/>
          <w:sz w:val="16"/>
          <w:szCs w:val="16"/>
        </w:rPr>
        <w:br/>
        <w:t>Technopak Advisors Pvt. Ltd.</w:t>
      </w:r>
      <w:r w:rsidRPr="008116D8">
        <w:rPr>
          <w:rFonts w:ascii="Tahoma" w:eastAsia="Times New Roman" w:hAnsi="Tahoma" w:cs="Tahoma"/>
          <w:b/>
          <w:bCs/>
          <w:sz w:val="16"/>
          <w:szCs w:val="16"/>
        </w:rPr>
        <w:br/>
        <w:t>Temasek Holdings</w:t>
      </w:r>
      <w:r w:rsidRPr="008116D8">
        <w:rPr>
          <w:rFonts w:ascii="Tahoma" w:eastAsia="Times New Roman" w:hAnsi="Tahoma" w:cs="Tahoma"/>
          <w:b/>
          <w:bCs/>
          <w:sz w:val="16"/>
          <w:szCs w:val="16"/>
        </w:rPr>
        <w:br/>
        <w:t>The Walden Group</w:t>
      </w:r>
      <w:r w:rsidRPr="008116D8">
        <w:rPr>
          <w:rFonts w:ascii="Tahoma" w:eastAsia="Times New Roman" w:hAnsi="Tahoma" w:cs="Tahoma"/>
          <w:b/>
          <w:bCs/>
          <w:sz w:val="16"/>
          <w:szCs w:val="16"/>
        </w:rPr>
        <w:br/>
        <w:t>TITAN</w:t>
      </w:r>
      <w:r w:rsidRPr="008116D8">
        <w:rPr>
          <w:rFonts w:ascii="Tahoma" w:eastAsia="Times New Roman" w:hAnsi="Tahoma" w:cs="Tahoma"/>
          <w:b/>
          <w:bCs/>
          <w:sz w:val="16"/>
          <w:szCs w:val="16"/>
        </w:rPr>
        <w:br/>
        <w:t>Unisys</w:t>
      </w:r>
      <w:r w:rsidRPr="008116D8">
        <w:rPr>
          <w:rFonts w:ascii="Tahoma" w:eastAsia="Times New Roman" w:hAnsi="Tahoma" w:cs="Tahoma"/>
          <w:b/>
          <w:bCs/>
          <w:sz w:val="16"/>
          <w:szCs w:val="16"/>
        </w:rPr>
        <w:br/>
        <w:t>Vedanta</w:t>
      </w:r>
      <w:r w:rsidRPr="008116D8">
        <w:rPr>
          <w:rFonts w:ascii="Tahoma" w:eastAsia="Times New Roman" w:hAnsi="Tahoma" w:cs="Tahoma"/>
          <w:b/>
          <w:bCs/>
          <w:sz w:val="16"/>
          <w:szCs w:val="16"/>
        </w:rPr>
        <w:br/>
        <w:t>Venture Infotek</w:t>
      </w:r>
      <w:r w:rsidRPr="008116D8">
        <w:rPr>
          <w:rFonts w:ascii="Tahoma" w:eastAsia="Times New Roman" w:hAnsi="Tahoma" w:cs="Tahoma"/>
          <w:b/>
          <w:bCs/>
          <w:sz w:val="16"/>
          <w:szCs w:val="16"/>
        </w:rPr>
        <w:br/>
        <w:t>Voltas</w:t>
      </w:r>
      <w:r w:rsidRPr="008116D8">
        <w:rPr>
          <w:rFonts w:ascii="Tahoma" w:eastAsia="Times New Roman" w:hAnsi="Tahoma" w:cs="Tahoma"/>
          <w:b/>
          <w:bCs/>
          <w:sz w:val="16"/>
          <w:szCs w:val="16"/>
        </w:rPr>
        <w:br/>
        <w:t>Watson Wyatt</w:t>
      </w:r>
      <w:r w:rsidRPr="008116D8">
        <w:rPr>
          <w:rFonts w:ascii="Tahoma" w:eastAsia="Times New Roman" w:hAnsi="Tahoma" w:cs="Tahoma"/>
          <w:b/>
          <w:bCs/>
          <w:sz w:val="16"/>
          <w:szCs w:val="16"/>
        </w:rPr>
        <w:br/>
        <w:t>Welspun</w:t>
      </w:r>
      <w:r w:rsidRPr="008116D8">
        <w:rPr>
          <w:rFonts w:ascii="Tahoma" w:eastAsia="Times New Roman" w:hAnsi="Tahoma" w:cs="Tahoma"/>
          <w:b/>
          <w:bCs/>
          <w:sz w:val="16"/>
          <w:szCs w:val="16"/>
        </w:rPr>
        <w:br/>
        <w:t>Wipro Ltd.</w:t>
      </w:r>
      <w:r w:rsidRPr="008116D8">
        <w:rPr>
          <w:rFonts w:ascii="Tahoma" w:eastAsia="Times New Roman" w:hAnsi="Tahoma" w:cs="Tahoma"/>
          <w:b/>
          <w:bCs/>
          <w:sz w:val="16"/>
          <w:szCs w:val="16"/>
        </w:rPr>
        <w:br/>
        <w:t xml:space="preserve">Wockhardt Ltd. </w:t>
      </w:r>
    </w:p>
    <w:p w:rsidR="008116D8" w:rsidRPr="008116D8" w:rsidRDefault="008116D8" w:rsidP="008116D8">
      <w:pPr>
        <w:spacing w:before="132" w:after="79" w:line="240" w:lineRule="auto"/>
        <w:rPr>
          <w:rFonts w:ascii="Times New Roman" w:eastAsia="Times New Roman" w:hAnsi="Times New Roman" w:cs="Times New Roman"/>
          <w:sz w:val="24"/>
          <w:szCs w:val="24"/>
        </w:rPr>
      </w:pPr>
      <w:bookmarkStart w:id="11" w:name="placementtrends"/>
      <w:bookmarkEnd w:id="11"/>
      <w:r w:rsidRPr="008116D8">
        <w:rPr>
          <w:rFonts w:ascii="Tahoma" w:eastAsia="Times New Roman" w:hAnsi="Tahoma" w:cs="Tahoma"/>
          <w:b/>
          <w:bCs/>
          <w:sz w:val="16"/>
          <w:szCs w:val="16"/>
          <w:shd w:val="clear" w:color="auto" w:fill="FFFFFF"/>
        </w:rPr>
        <w:t xml:space="preserve"> Placement Trends </w:t>
      </w:r>
    </w:p>
    <w:p w:rsidR="008116D8" w:rsidRPr="008116D8" w:rsidRDefault="008116D8" w:rsidP="008116D8">
      <w:pPr>
        <w:spacing w:before="132" w:after="79" w:line="240" w:lineRule="auto"/>
        <w:rPr>
          <w:rFonts w:ascii="Times New Roman" w:eastAsia="Times New Roman" w:hAnsi="Times New Roman" w:cs="Times New Roman"/>
          <w:sz w:val="24"/>
          <w:szCs w:val="24"/>
        </w:rPr>
      </w:pPr>
      <w:r w:rsidRPr="008116D8">
        <w:rPr>
          <w:rFonts w:ascii="Tahoma" w:eastAsia="Times New Roman" w:hAnsi="Tahoma" w:cs="Tahoma"/>
          <w:b/>
          <w:bCs/>
          <w:sz w:val="16"/>
          <w:szCs w:val="16"/>
        </w:rPr>
        <w:t xml:space="preserve">CAREER STATISTICS </w:t>
      </w:r>
      <w:r w:rsidRPr="008116D8">
        <w:rPr>
          <w:rFonts w:ascii="Tahoma" w:eastAsia="Times New Roman" w:hAnsi="Tahoma" w:cs="Tahoma"/>
          <w:sz w:val="16"/>
          <w:szCs w:val="16"/>
        </w:rPr>
        <w:t xml:space="preserve"> FINAL PLACEMENT </w:t>
      </w:r>
      <w:r w:rsidRPr="008116D8">
        <w:rPr>
          <w:rFonts w:ascii="Tahoma" w:eastAsia="Times New Roman" w:hAnsi="Tahoma" w:cs="Tahoma"/>
          <w:sz w:val="18"/>
          <w:szCs w:val="18"/>
        </w:rPr>
        <w:t>2008</w:t>
      </w:r>
    </w:p>
    <w:tbl>
      <w:tblPr>
        <w:tblW w:w="2200" w:type="pct"/>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2426"/>
        <w:gridCol w:w="1699"/>
      </w:tblGrid>
      <w:tr w:rsidR="008116D8" w:rsidRPr="008116D8" w:rsidTr="008116D8">
        <w:trPr>
          <w:trHeight w:val="75"/>
        </w:trPr>
        <w:tc>
          <w:tcPr>
            <w:tcW w:w="1500" w:type="pct"/>
            <w:tcBorders>
              <w:top w:val="outset" w:sz="6" w:space="0" w:color="FFFFFF"/>
              <w:left w:val="outset" w:sz="6" w:space="0" w:color="FFFFFF"/>
              <w:bottom w:val="outset" w:sz="6" w:space="0" w:color="FFFFFF"/>
              <w:right w:val="outset" w:sz="6" w:space="0" w:color="FFFFFF"/>
            </w:tcBorders>
            <w:vAlign w:val="center"/>
            <w:hideMark/>
          </w:tcPr>
          <w:p w:rsidR="008116D8" w:rsidRPr="008116D8" w:rsidRDefault="008116D8" w:rsidP="008116D8">
            <w:pPr>
              <w:spacing w:after="0" w:line="75" w:lineRule="atLeast"/>
              <w:jc w:val="center"/>
              <w:rPr>
                <w:rFonts w:ascii="Times New Roman" w:eastAsia="Times New Roman" w:hAnsi="Times New Roman" w:cs="Times New Roman"/>
                <w:sz w:val="24"/>
                <w:szCs w:val="24"/>
              </w:rPr>
            </w:pPr>
            <w:r w:rsidRPr="008116D8">
              <w:rPr>
                <w:rFonts w:ascii="Tahoma" w:eastAsia="Times New Roman" w:hAnsi="Tahoma" w:cs="Tahoma"/>
                <w:sz w:val="18"/>
                <w:szCs w:val="18"/>
              </w:rPr>
              <w:t xml:space="preserve">Number of participating companies </w:t>
            </w:r>
          </w:p>
        </w:tc>
        <w:tc>
          <w:tcPr>
            <w:tcW w:w="1050" w:type="pct"/>
            <w:tcBorders>
              <w:top w:val="outset" w:sz="6" w:space="0" w:color="FFFFFF"/>
              <w:left w:val="outset" w:sz="6" w:space="0" w:color="FFFFFF"/>
              <w:bottom w:val="outset" w:sz="6" w:space="0" w:color="FFFFFF"/>
              <w:right w:val="outset" w:sz="6" w:space="0" w:color="FFFFFF"/>
            </w:tcBorders>
            <w:vAlign w:val="center"/>
            <w:hideMark/>
          </w:tcPr>
          <w:p w:rsidR="008116D8" w:rsidRPr="008116D8" w:rsidRDefault="008116D8" w:rsidP="008116D8">
            <w:pPr>
              <w:spacing w:before="100" w:beforeAutospacing="1" w:after="100" w:afterAutospacing="1" w:line="75" w:lineRule="atLeast"/>
              <w:jc w:val="center"/>
              <w:rPr>
                <w:rFonts w:ascii="Times New Roman" w:eastAsia="Times New Roman" w:hAnsi="Times New Roman" w:cs="Times New Roman"/>
                <w:sz w:val="24"/>
                <w:szCs w:val="24"/>
              </w:rPr>
            </w:pPr>
            <w:r w:rsidRPr="008116D8">
              <w:rPr>
                <w:rFonts w:ascii="Tahoma" w:eastAsia="Times New Roman" w:hAnsi="Tahoma" w:cs="Tahoma"/>
                <w:sz w:val="18"/>
                <w:szCs w:val="18"/>
              </w:rPr>
              <w:t>92</w:t>
            </w:r>
          </w:p>
        </w:tc>
      </w:tr>
      <w:tr w:rsidR="008116D8" w:rsidRPr="008116D8" w:rsidTr="008116D8">
        <w:trPr>
          <w:trHeight w:val="120"/>
        </w:trPr>
        <w:tc>
          <w:tcPr>
            <w:tcW w:w="1500" w:type="pct"/>
            <w:tcBorders>
              <w:top w:val="outset" w:sz="6" w:space="0" w:color="FFFFFF"/>
              <w:left w:val="outset" w:sz="6" w:space="0" w:color="FFFFFF"/>
              <w:bottom w:val="outset" w:sz="6" w:space="0" w:color="FFFFFF"/>
              <w:right w:val="outset" w:sz="6" w:space="0" w:color="FFFFFF"/>
            </w:tcBorders>
            <w:vAlign w:val="center"/>
            <w:hideMark/>
          </w:tcPr>
          <w:p w:rsidR="008116D8" w:rsidRPr="008116D8" w:rsidRDefault="008116D8" w:rsidP="008116D8">
            <w:pPr>
              <w:spacing w:after="0" w:line="120" w:lineRule="atLeast"/>
              <w:jc w:val="center"/>
              <w:rPr>
                <w:rFonts w:ascii="Times New Roman" w:eastAsia="Times New Roman" w:hAnsi="Times New Roman" w:cs="Times New Roman"/>
                <w:sz w:val="24"/>
                <w:szCs w:val="24"/>
              </w:rPr>
            </w:pPr>
            <w:r w:rsidRPr="008116D8">
              <w:rPr>
                <w:rFonts w:ascii="Tahoma" w:eastAsia="Times New Roman" w:hAnsi="Tahoma" w:cs="Tahoma"/>
                <w:sz w:val="18"/>
                <w:szCs w:val="18"/>
              </w:rPr>
              <w:t>Highest Salary (Domestic)</w:t>
            </w:r>
          </w:p>
        </w:tc>
        <w:tc>
          <w:tcPr>
            <w:tcW w:w="1050" w:type="pct"/>
            <w:tcBorders>
              <w:top w:val="outset" w:sz="6" w:space="0" w:color="FFFFFF"/>
              <w:left w:val="outset" w:sz="6" w:space="0" w:color="FFFFFF"/>
              <w:bottom w:val="outset" w:sz="6" w:space="0" w:color="FFFFFF"/>
              <w:right w:val="outset" w:sz="6" w:space="0" w:color="FFFFFF"/>
            </w:tcBorders>
            <w:vAlign w:val="center"/>
            <w:hideMark/>
          </w:tcPr>
          <w:p w:rsidR="008116D8" w:rsidRPr="008116D8" w:rsidRDefault="008116D8" w:rsidP="008116D8">
            <w:pPr>
              <w:spacing w:after="0" w:line="120" w:lineRule="atLeast"/>
              <w:jc w:val="center"/>
              <w:rPr>
                <w:rFonts w:ascii="Times New Roman" w:eastAsia="Times New Roman" w:hAnsi="Times New Roman" w:cs="Times New Roman"/>
                <w:sz w:val="24"/>
                <w:szCs w:val="24"/>
              </w:rPr>
            </w:pPr>
            <w:r w:rsidRPr="008116D8">
              <w:rPr>
                <w:rFonts w:ascii="Tahoma" w:eastAsia="Times New Roman" w:hAnsi="Tahoma" w:cs="Tahoma"/>
                <w:sz w:val="18"/>
                <w:szCs w:val="18"/>
              </w:rPr>
              <w:t>INR 29 Lacs</w:t>
            </w:r>
          </w:p>
        </w:tc>
      </w:tr>
      <w:tr w:rsidR="008116D8" w:rsidRPr="008116D8" w:rsidTr="008116D8">
        <w:trPr>
          <w:trHeight w:val="150"/>
        </w:trPr>
        <w:tc>
          <w:tcPr>
            <w:tcW w:w="1500" w:type="pct"/>
            <w:tcBorders>
              <w:top w:val="outset" w:sz="6" w:space="0" w:color="FFFFFF"/>
              <w:left w:val="outset" w:sz="6" w:space="0" w:color="FFFFFF"/>
              <w:bottom w:val="outset" w:sz="6" w:space="0" w:color="FFFFFF"/>
              <w:right w:val="outset" w:sz="6" w:space="0" w:color="FFFFFF"/>
            </w:tcBorders>
            <w:vAlign w:val="center"/>
            <w:hideMark/>
          </w:tcPr>
          <w:p w:rsidR="008116D8" w:rsidRPr="008116D8" w:rsidRDefault="008116D8" w:rsidP="008116D8">
            <w:pPr>
              <w:spacing w:after="0" w:line="150" w:lineRule="atLeast"/>
              <w:jc w:val="center"/>
              <w:rPr>
                <w:rFonts w:ascii="Times New Roman" w:eastAsia="Times New Roman" w:hAnsi="Times New Roman" w:cs="Times New Roman"/>
                <w:sz w:val="24"/>
                <w:szCs w:val="24"/>
              </w:rPr>
            </w:pPr>
            <w:r w:rsidRPr="008116D8">
              <w:rPr>
                <w:rFonts w:ascii="Tahoma" w:eastAsia="Times New Roman" w:hAnsi="Tahoma" w:cs="Tahoma"/>
                <w:sz w:val="18"/>
                <w:szCs w:val="18"/>
              </w:rPr>
              <w:t>Highest Salary (International)</w:t>
            </w:r>
          </w:p>
        </w:tc>
        <w:tc>
          <w:tcPr>
            <w:tcW w:w="1050" w:type="pct"/>
            <w:tcBorders>
              <w:top w:val="outset" w:sz="6" w:space="0" w:color="FFFFFF"/>
              <w:left w:val="outset" w:sz="6" w:space="0" w:color="FFFFFF"/>
              <w:bottom w:val="outset" w:sz="6" w:space="0" w:color="FFFFFF"/>
              <w:right w:val="outset" w:sz="6" w:space="0" w:color="FFFFFF"/>
            </w:tcBorders>
            <w:vAlign w:val="center"/>
            <w:hideMark/>
          </w:tcPr>
          <w:p w:rsidR="008116D8" w:rsidRPr="008116D8" w:rsidRDefault="008116D8" w:rsidP="008116D8">
            <w:pPr>
              <w:spacing w:after="0" w:line="150" w:lineRule="atLeast"/>
              <w:jc w:val="center"/>
              <w:rPr>
                <w:rFonts w:ascii="Times New Roman" w:eastAsia="Times New Roman" w:hAnsi="Times New Roman" w:cs="Times New Roman"/>
                <w:sz w:val="24"/>
                <w:szCs w:val="24"/>
              </w:rPr>
            </w:pPr>
            <w:r w:rsidRPr="008116D8">
              <w:rPr>
                <w:rFonts w:ascii="Tahoma" w:eastAsia="Times New Roman" w:hAnsi="Tahoma" w:cs="Tahoma"/>
                <w:sz w:val="18"/>
                <w:szCs w:val="18"/>
              </w:rPr>
              <w:t>AED 2 Lacs</w:t>
            </w:r>
          </w:p>
        </w:tc>
      </w:tr>
      <w:tr w:rsidR="008116D8" w:rsidRPr="008116D8" w:rsidTr="008116D8">
        <w:trPr>
          <w:trHeight w:val="150"/>
        </w:trPr>
        <w:tc>
          <w:tcPr>
            <w:tcW w:w="1500" w:type="pct"/>
            <w:tcBorders>
              <w:top w:val="outset" w:sz="6" w:space="0" w:color="FFFFFF"/>
              <w:left w:val="outset" w:sz="6" w:space="0" w:color="FFFFFF"/>
              <w:bottom w:val="outset" w:sz="6" w:space="0" w:color="FFFFFF"/>
              <w:right w:val="outset" w:sz="6" w:space="0" w:color="FFFFFF"/>
            </w:tcBorders>
            <w:vAlign w:val="center"/>
            <w:hideMark/>
          </w:tcPr>
          <w:p w:rsidR="008116D8" w:rsidRPr="008116D8" w:rsidRDefault="008116D8" w:rsidP="008116D8">
            <w:pPr>
              <w:spacing w:after="0" w:line="150" w:lineRule="atLeast"/>
              <w:jc w:val="center"/>
              <w:rPr>
                <w:rFonts w:ascii="Times New Roman" w:eastAsia="Times New Roman" w:hAnsi="Times New Roman" w:cs="Times New Roman"/>
                <w:sz w:val="24"/>
                <w:szCs w:val="24"/>
              </w:rPr>
            </w:pPr>
            <w:r w:rsidRPr="008116D8">
              <w:rPr>
                <w:rFonts w:ascii="Tahoma" w:eastAsia="Times New Roman" w:hAnsi="Tahoma" w:cs="Tahoma"/>
                <w:sz w:val="18"/>
                <w:szCs w:val="18"/>
              </w:rPr>
              <w:t>Average Salary (Domestic)</w:t>
            </w:r>
          </w:p>
        </w:tc>
        <w:tc>
          <w:tcPr>
            <w:tcW w:w="1050" w:type="pct"/>
            <w:tcBorders>
              <w:top w:val="outset" w:sz="6" w:space="0" w:color="FFFFFF"/>
              <w:left w:val="outset" w:sz="6" w:space="0" w:color="FFFFFF"/>
              <w:bottom w:val="outset" w:sz="6" w:space="0" w:color="FFFFFF"/>
              <w:right w:val="outset" w:sz="6" w:space="0" w:color="FFFFFF"/>
            </w:tcBorders>
            <w:vAlign w:val="center"/>
            <w:hideMark/>
          </w:tcPr>
          <w:p w:rsidR="008116D8" w:rsidRPr="008116D8" w:rsidRDefault="008116D8" w:rsidP="008116D8">
            <w:pPr>
              <w:spacing w:after="0" w:line="150" w:lineRule="atLeast"/>
              <w:jc w:val="center"/>
              <w:rPr>
                <w:rFonts w:ascii="Times New Roman" w:eastAsia="Times New Roman" w:hAnsi="Times New Roman" w:cs="Times New Roman"/>
                <w:sz w:val="24"/>
                <w:szCs w:val="24"/>
              </w:rPr>
            </w:pPr>
            <w:r w:rsidRPr="008116D8">
              <w:rPr>
                <w:rFonts w:ascii="Tahoma" w:eastAsia="Times New Roman" w:hAnsi="Tahoma" w:cs="Tahoma"/>
                <w:sz w:val="18"/>
                <w:szCs w:val="18"/>
              </w:rPr>
              <w:t>INR 13.84 Lacs</w:t>
            </w:r>
          </w:p>
        </w:tc>
      </w:tr>
    </w:tbl>
    <w:p w:rsidR="00737A41" w:rsidRPr="008116D8" w:rsidRDefault="00737A41"/>
    <w:sectPr w:rsidR="00737A41" w:rsidRPr="008116D8" w:rsidSect="00737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rsids>
    <w:rsidRoot w:val="008116D8"/>
    <w:rsid w:val="004E10F0"/>
    <w:rsid w:val="00737A41"/>
    <w:rsid w:val="008116D8"/>
    <w:rsid w:val="008B6301"/>
    <w:rsid w:val="00FA7D3C"/>
    <w:rsid w:val="00FF3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6D8"/>
    <w:rPr>
      <w:color w:val="0000FF"/>
      <w:u w:val="single"/>
    </w:rPr>
  </w:style>
  <w:style w:type="character" w:styleId="Strong">
    <w:name w:val="Strong"/>
    <w:basedOn w:val="DefaultParagraphFont"/>
    <w:uiPriority w:val="22"/>
    <w:qFormat/>
    <w:rsid w:val="00FF3F95"/>
    <w:rPr>
      <w:b/>
      <w:bCs/>
    </w:rPr>
  </w:style>
  <w:style w:type="character" w:styleId="Emphasis">
    <w:name w:val="Emphasis"/>
    <w:basedOn w:val="DefaultParagraphFont"/>
    <w:uiPriority w:val="20"/>
    <w:qFormat/>
    <w:rsid w:val="00FF3F95"/>
    <w:rPr>
      <w:i/>
      <w:iCs/>
    </w:rPr>
  </w:style>
  <w:style w:type="paragraph" w:styleId="BalloonText">
    <w:name w:val="Balloon Text"/>
    <w:basedOn w:val="Normal"/>
    <w:link w:val="BalloonTextChar"/>
    <w:uiPriority w:val="99"/>
    <w:semiHidden/>
    <w:unhideWhenUsed/>
    <w:rsid w:val="00FF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715330">
      <w:bodyDiv w:val="1"/>
      <w:marLeft w:val="0"/>
      <w:marRight w:val="0"/>
      <w:marTop w:val="0"/>
      <w:marBottom w:val="0"/>
      <w:divBdr>
        <w:top w:val="none" w:sz="0" w:space="0" w:color="auto"/>
        <w:left w:val="none" w:sz="0" w:space="0" w:color="auto"/>
        <w:bottom w:val="none" w:sz="0" w:space="0" w:color="auto"/>
        <w:right w:val="none" w:sz="0" w:space="0" w:color="auto"/>
      </w:divBdr>
    </w:div>
    <w:div w:id="18178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bimsmumbai.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Jitesh</dc:creator>
  <cp:keywords/>
  <dc:description/>
  <cp:lastModifiedBy>Jitesh</cp:lastModifiedBy>
  <cp:revision>3</cp:revision>
  <dcterms:created xsi:type="dcterms:W3CDTF">2010-01-11T07:12:00Z</dcterms:created>
  <dcterms:modified xsi:type="dcterms:W3CDTF">2010-01-11T07:20:00Z</dcterms:modified>
</cp:coreProperties>
</file>